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default" w:ascii="Times New Roman" w:hAnsi="Times New Roman" w:eastAsia="sans-serif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  <w:t>Коршунова Дарья. 3 курс. Международные отношения.</w:t>
      </w:r>
    </w:p>
    <w:p>
      <w:pPr>
        <w:spacing w:after="0"/>
        <w:jc w:val="left"/>
        <w:rPr>
          <w:rFonts w:hint="default" w:ascii="Times New Roman" w:hAnsi="Times New Roman" w:eastAsia="sans-serif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eastAsia="sans-serif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  <w:t>Роль</w:t>
      </w:r>
      <w:r>
        <w:rPr>
          <w:rFonts w:ascii="Times New Roman" w:hAnsi="Times New Roman" w:eastAsia="sans-serif" w:cs="Times New Roman"/>
          <w:color w:val="000000"/>
          <w:sz w:val="24"/>
          <w:szCs w:val="24"/>
          <w:shd w:val="clear" w:color="auto" w:fill="FFFFFF"/>
          <w:lang w:val="ru-RU"/>
        </w:rPr>
        <w:t xml:space="preserve"> и методы реализации культурной политики в Европейском Союзе.</w:t>
      </w:r>
    </w:p>
    <w:p>
      <w:pPr>
        <w:spacing w:after="0"/>
        <w:jc w:val="center"/>
        <w:rPr>
          <w:rFonts w:ascii="Times New Roman" w:hAnsi="Times New Roman" w:eastAsia="sans-serif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  <w:t>План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  <w:t>Культурная политика ее цели, задачи, НПА, подход к реализации.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  <w:t>Основные направления КП.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Общеевропейские культурные программы: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поддержка сотрудничества учреждений культуры разных стран в рамках культурных и художественных проектов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сохранение культурного наследия Европы и продвижение культурного разнообразия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оказание помощи артистам и другим представителям творческих профессий, поддержка кинотеатров и помощь в переводе художественной литературы на языки народов Европейского Союза.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формирование новых культурных стереотипов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  <w:t>пропаганда европейской культуры в международных отношениях ЕС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shd w:val="clear" w:color="auto" w:fill="FFFFFF"/>
          <w:lang w:val="ru-RU"/>
        </w:rPr>
        <w:t xml:space="preserve">Культурная дипломатия ЕС как средство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продвижения интересов Европейского Союза за рубежом через культурное сотрудничество.</w:t>
      </w:r>
    </w:p>
    <w:p>
      <w:pPr>
        <w:spacing w:after="0"/>
        <w:jc w:val="both"/>
        <w:rPr>
          <w:rFonts w:ascii="Times New Roman" w:hAnsi="Times New Roman" w:eastAsia="sans-serif" w:cs="Times New Roman"/>
          <w:color w:val="FF0000"/>
          <w:sz w:val="24"/>
          <w:szCs w:val="24"/>
          <w:shd w:val="clear" w:color="auto" w:fill="FFFFFF"/>
          <w:lang w:val="ru-RU"/>
        </w:rPr>
      </w:pPr>
    </w:p>
    <w:p>
      <w:pPr>
        <w:spacing w:after="0"/>
        <w:jc w:val="both"/>
        <w:rPr>
          <w:rFonts w:ascii="Times New Roman" w:hAnsi="Times New Roman" w:eastAsia="sans-serif" w:cs="Times New Roman"/>
          <w:color w:val="FF0000"/>
          <w:sz w:val="24"/>
          <w:szCs w:val="24"/>
          <w:shd w:val="clear" w:color="auto" w:fill="FFFFFF"/>
          <w:lang w:val="ru-RU"/>
        </w:rPr>
      </w:pPr>
    </w:p>
    <w:p>
      <w:pPr>
        <w:spacing w:after="0"/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Культурная политика – это направление политики государства, связанное с планированием, проектированием, реализацией и обеспечением культурной жизни государства и общества. Одно из первых определений термина «культурная политика» было дано на круглом столе ЮНЕСКО в 1967 году в Монако. В докладе «Политика в сфере культуры – предварительные соображения» под политикой в сфере культуры было решено понимать «комплекс операциональных принципов, административных и финансовых видов деятельности и процедур, которые обеспечивают основу действий государства в области культуры». В этом контексте реализация политики в сфере культуры представляет собой «всю сумму сознательных и обдуманных действий (или отсутствие действий) в обществе, направленных на достижение определенных культурных целей, посредством оптимального использования всех физических и духовных ресурсов, которыми располагает общество в данное время». Исходное условие разработки политики в сфере культуры - это достижение согласия между официальными, творческими, общественными силами в отношении приоритетности целей культурного развития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Европейский Союз зарождался в первую очередь как экономическая организация. Однако постепенно границы интеграции расширялись, хотя проблемы культурной интеграции очень долго оставались в стороне, либо носили второстепенный характер. По мере смещения акцентов в деятельности Европейского Союза с чисто экономических интересов на политические и социально-культурные сферы, необходимость формирования европейской идентичности стала нарастать. В связи с этим возникла потребность в формировании единого культурного пространства, а значит и культурной политики, способствующей достижениям общеевропейских целей. Культура должна была стать одним из факторов, способствующих объединению людей не только на политическом и экономическом уровне, но и на уровне сознания: граждане разных государств-членов Евросоюза должны, по идее, воспринимать себя как единое целое, как представители одной территории с общими культурными ценностями.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Идея единства Европы в культурном плане имеет глубокие корни, уходящие в Средневековье, но только в </w:t>
      </w:r>
      <w:r>
        <w:rPr>
          <w:rFonts w:ascii="Times New Roman" w:hAnsi="Times New Roman" w:eastAsia="SimSun" w:cs="Times New Roman"/>
          <w:sz w:val="24"/>
          <w:szCs w:val="24"/>
        </w:rPr>
        <w:t>XX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в. она получила свое оформление в официальных документах и социально-политических институтах. Так в декабре 1954 г. была подписана Европейская культурная конвенция, которая ставила своей целью достижение единства и взаимопонимания между народами Европы. Для реализации поставленной цели предлагалось расширение сотрудничества в области культуры между странами, входящими в Совет Европы. При этом подчеркивалась необходимость сохранения культурного наследия и традиционных ценностей народов, населяющих Европу.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Впервые о необходимости формирования единого культурного пространства в рамках Европейского Союза стали говорить в еще в 70-е гг. </w:t>
      </w:r>
      <w:r>
        <w:rPr>
          <w:rFonts w:ascii="Times New Roman" w:hAnsi="Times New Roman" w:eastAsia="SimSun" w:cs="Times New Roman"/>
          <w:sz w:val="24"/>
          <w:szCs w:val="24"/>
        </w:rPr>
        <w:t>XX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в. Но только в 1983 г. был принят документ, в котором содержался призыв к странам, подписавшим «Торжественную декларацию о Европейском Союзе», усилить культурные связи внутри Сообщества, а также озвучивалась идея формирования единого культурного общеевропейского пространства. Идеи Штутгартской «Торжественной декларации» нашли свое юридическое воплощение в Едином Европейском Акте (раздел </w:t>
      </w:r>
      <w:r>
        <w:rPr>
          <w:rFonts w:ascii="Times New Roman" w:hAnsi="Times New Roman" w:eastAsia="SimSun" w:cs="Times New Roman"/>
          <w:sz w:val="24"/>
          <w:szCs w:val="24"/>
        </w:rPr>
        <w:t>IX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, статья 128) , подписанном в 1986 г. Его основные положения в вопросе культуры практически без изменений были включены в Договор, учреждающий Европейское Сообщество (раздел </w:t>
      </w:r>
      <w:r>
        <w:rPr>
          <w:rFonts w:ascii="Times New Roman" w:hAnsi="Times New Roman" w:eastAsia="SimSun" w:cs="Times New Roman"/>
          <w:sz w:val="24"/>
          <w:szCs w:val="24"/>
        </w:rPr>
        <w:t>XII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, статья 151), подписанный в 1992 г. и дополненный в Ницце в 2001 г.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/>
        </w:rPr>
        <w:t>В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1992 г. в Маастрихте был подписан Договор о Европейском Союзе, который также затрагивал вопросы культуры. Согласно третьей статье Союз «уважает богатство своего культурного и языкового разнообразия и заботится о сохранении и развитии европейского культурного наследия». На сегодняшний день последние два документа является юридической основной культурной политики, проводимой Европейским Союзом.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После создания юридической базы в странах ЕС начали действовать общеевропейские культурные программы. Среди наиболее значимых проектов можно назвать следующие программы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-«Культурная столица Европы» – действует с 1985 г., предполагает проведение конкурса на звание «культурной столицы»;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-«Калейдоскоп» – действует с 1996 г., направлена прежде всего на поддержку артистической и культурной деятельности;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-«Ариан» – действует с 1997 г., основная задача – поддержка в области литературы, включая возможность ее перевода;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-«Рафаэль» – программа, действующая с 1997 г., предусматривает помощь ЕС в области сохранения культурного наследия европейского значения.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Первые культурные проекты были </w:t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/>
        </w:rPr>
        <w:t>направлены на развитие отдельных сфер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культурной деятельности, но уже здесь был применен так называемый </w:t>
      </w:r>
      <w:r>
        <w:rPr>
          <w:rFonts w:ascii="Times New Roman" w:hAnsi="Times New Roman" w:eastAsia="SimSun" w:cs="Times New Roman"/>
          <w:i/>
          <w:sz w:val="24"/>
          <w:szCs w:val="24"/>
          <w:lang w:val="ru-RU"/>
        </w:rPr>
        <w:t xml:space="preserve">программный подход, </w:t>
      </w:r>
      <w:r>
        <w:rPr>
          <w:rFonts w:ascii="Times New Roman" w:hAnsi="Times New Roman" w:eastAsia="SimSun" w:cs="Times New Roman"/>
          <w:i/>
          <w:sz w:val="24"/>
          <w:szCs w:val="24"/>
          <w:highlight w:val="none"/>
          <w:lang w:val="ru-RU"/>
        </w:rPr>
        <w:t xml:space="preserve">в рамках которого </w:t>
      </w:r>
      <w:r>
        <w:rPr>
          <w:rFonts w:ascii="Times New Roman" w:hAnsi="Times New Roman" w:eastAsia="SimSun" w:cs="Times New Roman"/>
          <w:i/>
          <w:iCs/>
          <w:sz w:val="24"/>
          <w:szCs w:val="24"/>
          <w:highlight w:val="none"/>
          <w:lang w:val="ru-RU"/>
        </w:rPr>
        <w:t>предоставляется финансовая поддержка на конкурсной основе (гранты) конкретным культурно-художественным или просветительским проектам</w:t>
      </w:r>
      <w:r>
        <w:rPr>
          <w:rFonts w:ascii="Times New Roman" w:hAnsi="Times New Roman" w:eastAsia="SimSun" w:cs="Times New Roman"/>
          <w:i/>
          <w:sz w:val="24"/>
          <w:szCs w:val="24"/>
          <w:highlight w:val="none"/>
          <w:lang w:val="ru-RU"/>
        </w:rPr>
        <w:t>, и не предусмотрено финансирование культурного развития Европы в целом.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В конце 90-х гг. на основе этих проектов с целью рационализации и повышения эффективности деятельности в сфере культурного сотрудничества был разработан единый финансовый и программный документ и сформирована комплексная программа «Культура 2000». Изначально ее срок действия был рассчитан на пять лет, позже ее продлили еще на два года (2005 – 2006 гг.). В декабре 2006 г. была принята новая «Культурная программа (2007 – 2013)». Одной из основных зада</w:t>
      </w:r>
      <w:r>
        <w:rPr>
          <w:rFonts w:ascii="Times New Roman" w:hAnsi="Times New Roman" w:eastAsia="SimSun" w:cs="Times New Roman"/>
          <w:sz w:val="24"/>
          <w:szCs w:val="24"/>
          <w:highlight w:val="none"/>
          <w:shd w:val="clear" w:color="auto" w:fill="auto"/>
          <w:lang w:val="ru-RU"/>
        </w:rPr>
        <w:t>ч д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анной культурной программы стала поддержка культурных акций. Это направление предполагало поддержку сотрудничества учреждений культуры разных стран в рамках культурных и художественных проектов, а именно многолетние совместные проекты, сроком 3–5 лет, совместные проекты сроком не более двух лет, а также специальные мероприятия высокого уровня.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Одним из важнейших направлений как программы «Культура 2000», так и программы «Культура 2007 – 2013» было сохранение культурного наследия Европы: как материальных памятников культуры европейского и мирового значения, так и культурных традиций. Этот аспект </w:t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/>
        </w:rPr>
        <w:t>деятельности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приобрел важное значение в свете расширения Европейского Союза и включения в него ряда стран Восточной Европы и Прибалтики, где проблема сохранения культурного наследия стояла достаточно остро. Это было связано с одной стороны, с иными критериями в подходе к культурным ценностям, характерными для советского периода истории этих стран, с другой стороны – экономическими проблемами перехода к рыночной экономике.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С января 2014 г. вступила в силу новая программа «Креативная Европа». Она рассчитана на 7 лет – до 2020 г. включительно. Бюджет программы предусматривает 1,46 млрд Евро. В рамках программы предполагается оказание помощи артистам и другим представителям творческих профессий, поддержка кинотеатров и помощь в переводе художественной литературы на языки народов Европейского Союза. Здесь следует учитывать, что на сегодняшний день в ЕС 24 официальных языка и 60 языков национальных меньшинств. Следует иметь в виду, что данная программа также включает в себя проекты, получившие положительный результат по итогам предыдущих лет. Так, например, проект «Культурная столица Европы», запущенный еще в середине 80-х гг. </w:t>
      </w:r>
      <w:r>
        <w:rPr>
          <w:rFonts w:ascii="Times New Roman" w:hAnsi="Times New Roman" w:eastAsia="SimSun" w:cs="Times New Roman"/>
          <w:sz w:val="24"/>
          <w:szCs w:val="24"/>
        </w:rPr>
        <w:t>XX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в., получил поддержку и продолжение в новой культурной программе.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Принципиальное отличие этой программы от предыдущих заключается главным образом в смещении акцентов с сохранения культурного наследия на развитие культуры с учетом тенденций современного общества и формирования новых культурных стереотипов. Данная программа предполагает создание новой культурной парадигмы, и поколения людей, воспитанных в русле общеевропейских ценностей. Свобода творчества, по мнению авторов программы, должна стать катализатором социального и экономического развития Европы, способствовать ее дальнейшему развитию и процветанию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Говоря о применении программного метода в культурной политике ЕС, следует отметить одну принципиальную особенность – сознательный отказ от общеевропейских, надгосударственных институтов, которые бы проводили и реализовывали общую культурную политику. Члены Евросоюза оказались готовы пожертвовать своим суверенитетом в вопросах экономики, внешней безопасности, но не в вопросах культуры. Согласно принятому в Маастрихте соглашению ЕС «принимает поощрительные меры, не прибегая к какой-либо гармонизации законодательных и регламентарных актов, принятых государствами-членами». Исходя из этого Европейская Комиссия, которая курирует вопросы культуры, имеет только распределительные и рекомендательные функции. Страны ЕС осознано отказываются от какой-либо унификации в вопросе культуры.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Остановимся подробнее на </w:t>
      </w:r>
      <w:r>
        <w:rPr>
          <w:rFonts w:ascii="Times New Roman" w:hAnsi="Times New Roman" w:eastAsia="SimSun" w:cs="Times New Roman"/>
          <w:i/>
          <w:sz w:val="24"/>
          <w:szCs w:val="24"/>
          <w:lang w:val="ru-RU"/>
        </w:rPr>
        <w:t xml:space="preserve">Еврокомиссии, </w:t>
      </w:r>
      <w:r>
        <w:rPr>
          <w:rFonts w:ascii="Times New Roman" w:hAnsi="Times New Roman" w:eastAsia="SimSun" w:cs="Times New Roman"/>
          <w:iCs/>
          <w:sz w:val="24"/>
          <w:szCs w:val="24"/>
          <w:lang w:val="ru-RU"/>
        </w:rPr>
        <w:t>которая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занимается продвижением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культурного разнообразия в Европе, защитой культурного наследия, упрощением передвижения сотрудников в культурной и творческой индустрии. В 2014 г. Еврокомиссией был принят «План 2015–2018 гг. по работе в области культуры», основными направлениями взаимодействия на европейском уровне стали открытость и доступность культуры для всех; культурное наследие; инновации и экономическое развитие культурного и творческого сектора; продвижение культурного разнообразия во внешних отношениях ЕС. В приложении к этому документу представлен детальный план, в котором прописаны участники проектов, основные темы, инструменты и методы реализации проекта, ожидаемые результаты. В реализации этого документа приняли участие все страны – члены ЕС, 16 стран – политики соседства ЕС (Алжир, Армения, Азербайджан, Белоруссия, Египет, Грузия, Израиль, Иордания, Ливан, Ливия, Молдова, Марокко, Сирия, Тунис, Украина) и 10 стран – стратегических партнеров ЕС (Бразилия, Канада, Китай, Япония, Индия, Мексика, Россия, Южная Африка, Южная Корея, США), а также институты культуры, например Институт Гете, Британский совет, Датский культурный центр и др. </w:t>
      </w:r>
    </w:p>
    <w:p>
      <w:pPr>
        <w:spacing w:after="0"/>
        <w:ind w:firstLine="420"/>
        <w:jc w:val="both"/>
        <w:rPr>
          <w:rFonts w:ascii="Times New Roman" w:hAnsi="Times New Roman" w:eastAsia="serif" w:cs="Times New Roman"/>
          <w:iCs/>
          <w:color w:val="262626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Данный пример является иллюстрацией еще одного важного аспекта развития культуры в ЕС - активного развития культурной дипломатии ЕС и пропаганды культуры в международных отношениях ЕС. </w:t>
      </w:r>
      <w:r>
        <w:rPr>
          <w:rFonts w:ascii="Times New Roman" w:hAnsi="Times New Roman" w:eastAsia="serif" w:cs="Times New Roman"/>
          <w:bCs/>
          <w:iCs/>
          <w:sz w:val="24"/>
          <w:szCs w:val="24"/>
          <w:shd w:val="clear" w:color="auto" w:fill="FFFFFF"/>
          <w:lang w:val="ru-RU"/>
        </w:rPr>
        <w:t xml:space="preserve">В целом в осуществлении культурной дипломатии ЕС опирается на шесть финансовых инструментов: Инструмент Европейского соседства, Инструмент стабильности и безопасности, платформа «Творческая Европа», Эразмус +, Европейский инструмент демократии и прав человека, Инструмент сотрудничества. </w:t>
      </w:r>
      <w:r>
        <w:rPr>
          <w:rFonts w:ascii="Times New Roman" w:hAnsi="Times New Roman" w:eastAsia="serif" w:cs="Times New Roman"/>
          <w:iCs/>
          <w:sz w:val="24"/>
          <w:szCs w:val="24"/>
          <w:shd w:val="clear" w:color="auto" w:fill="FFFFFF"/>
          <w:lang w:val="ru-RU"/>
        </w:rPr>
        <w:t xml:space="preserve">В каждой из данных программ могут участвовать правительства из партнерских стран, организации, представители гражданского общества наряду со странами-членами ЕС и наднациональными институтами. </w:t>
      </w:r>
    </w:p>
    <w:p>
      <w:p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  Так, в ноябре 2015 г. был принят документ «Заключение Совета ЕС по культуре во внешних отношениях», где было прописано, что культура должна стать частью стратегического и межотраслевого подхода в реализации внешней политики ЕС. Основными партнерами в этой области должны стать национальные институты культуры и НКО.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Были приняты следующие положения «Заключения»:</w:t>
      </w:r>
      <w:r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признание ценности культуры; восприятие культуры как приоритетного вектора для развития сотрудничества; поддержка долгосрочного развития культурных и креативных отраслей; укрепление сотрудничества в области защиты и охраны материального и нематериального культурного и природного наследия; содействие в усилении роли образования, укрепление плюрализма, недискриминации, терпимости, солидарности, справедливости, равенства между мужчинами и женщинами.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В феврале 2016 г. в рамках реализации культурной дипломатии ЕС была создана платформа для всех заинтересованных участников (делегации ЕС, институты культуры, национальные фонды, государственные и частные предприятия, гражданское общество), целями которой стали консультации по вопросам политики, созданию социальных сетей, организации совместных мероприятий в области культуры, разработки учебных программ по культурному лидерству.</w:t>
      </w:r>
    </w:p>
    <w:p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lang w:val="ru-RU" w:bidi="ar"/>
        </w:rPr>
        <w:t xml:space="preserve">Кроме того, в 2016 году Европейская комиссия опубликовала совместное обращение к Европейскому парламенту и Совету ЕС «Направления </w:t>
      </w:r>
      <w:r>
        <w:rPr>
          <w:rFonts w:ascii="Times New Roman" w:hAnsi="Times New Roman" w:eastAsia="sans-serif" w:cs="Times New Roman"/>
          <w:i/>
          <w:sz w:val="24"/>
          <w:szCs w:val="24"/>
          <w:lang w:val="ru-RU" w:bidi="ar"/>
        </w:rPr>
        <w:t>стратегии ЕС</w:t>
      </w:r>
      <w:r>
        <w:rPr>
          <w:rFonts w:ascii="Times New Roman" w:hAnsi="Times New Roman" w:eastAsia="sans-serif" w:cs="Times New Roman"/>
          <w:sz w:val="24"/>
          <w:szCs w:val="24"/>
          <w:lang w:val="ru-RU" w:bidi="ar"/>
        </w:rPr>
        <w:t xml:space="preserve"> по международным отношениям в сфере культуры». В этом документе изложены основные цели культурной политики ЕС и география сотрудничества. </w:t>
      </w:r>
      <w:r>
        <w:rPr>
          <w:rFonts w:ascii="Times New Roman" w:hAnsi="Times New Roman" w:cs="Times New Roman"/>
          <w:sz w:val="24"/>
          <w:szCs w:val="24"/>
          <w:lang w:val="ru-RU"/>
        </w:rPr>
        <w:t>По определению авторов документа, основной целью культурных отношений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 продвижение разнообразия. Они уверены, что с помощью культуры можно разрешить конфликты и содействовать социальной адаптации беженцев, а также обеспечить устойчивое развитие развивающихся стран.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принципы стратегии культурной дипломатии ЕС состоят в следующем: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b/>
          <w:i/>
          <w:lang w:val="ru-RU"/>
        </w:rPr>
      </w:pPr>
      <w:r>
        <w:rPr>
          <w:rStyle w:val="6"/>
          <w:b w:val="0"/>
          <w:i/>
          <w:lang w:val="ru-RU"/>
        </w:rPr>
        <w:t>1.</w:t>
      </w:r>
      <w:r>
        <w:rPr>
          <w:rStyle w:val="6"/>
          <w:b w:val="0"/>
          <w:i/>
        </w:rPr>
        <w:t> </w:t>
      </w:r>
      <w:r>
        <w:rPr>
          <w:rStyle w:val="6"/>
          <w:b w:val="0"/>
          <w:i/>
          <w:lang w:val="ru-RU"/>
        </w:rPr>
        <w:t>Продвигать культурное разнообразие и уважать права человека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Это основополагающий принцип стратегии. Государство должно уважать свободу творческого самовыражения и защищать его на законодательном уровне. Авторы считают, что это основа плюралистического подхода к построению международных отношений в сфере культуры.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b/>
          <w:i/>
          <w:lang w:val="ru-RU"/>
        </w:rPr>
      </w:pPr>
      <w:r>
        <w:rPr>
          <w:rStyle w:val="6"/>
          <w:b w:val="0"/>
          <w:i/>
          <w:lang w:val="ru-RU"/>
        </w:rPr>
        <w:t>2. Благоприятствовать взаимному уважению и налаживанию межкультурного диалога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Умение слушать друг друга и вести диалог является основой для объединения различных культур. Согласно документу крайне важным аспектом построения прочных международных партнерских отношений и осмысления роли коммуникации посредством Интернета является понимание местных особенностей.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b/>
          <w:i/>
          <w:lang w:val="ru-RU"/>
        </w:rPr>
      </w:pPr>
      <w:r>
        <w:rPr>
          <w:rStyle w:val="6"/>
          <w:b w:val="0"/>
          <w:i/>
          <w:lang w:val="ru-RU"/>
        </w:rPr>
        <w:t>3. Гарантировать уважение взаимодополняемости культур и приоритетности низшего звена в принятии решений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ЕС стремится не только координировать культурные отношения между странами-участницами, но и сотрудничать с культурными организациями из третьих стран. Таким образом ЕС учитывает культурные особенности каждой страны-партнера.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b/>
          <w:i/>
          <w:lang w:val="ru-RU"/>
        </w:rPr>
      </w:pPr>
      <w:r>
        <w:rPr>
          <w:rStyle w:val="6"/>
          <w:b w:val="0"/>
          <w:i/>
          <w:lang w:val="ru-RU"/>
        </w:rPr>
        <w:t>4. Способствовать комплексному подходу к культуре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Авторы убеждены в том, что сфера действия культуры не ограничивается только лишь искусством. Она также содействует образованию, развитию туризма и креативных индустрий. Культура способствует борьбе за мир и устойчивому развитию, а данная стратегия указывает способы продвижения этой концепции.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b/>
          <w:i/>
          <w:lang w:val="ru-RU"/>
        </w:rPr>
      </w:pPr>
      <w:r>
        <w:rPr>
          <w:rStyle w:val="6"/>
          <w:b w:val="0"/>
          <w:i/>
          <w:lang w:val="ru-RU"/>
        </w:rPr>
        <w:t>5. Продвигать культуру на основе сотрудничества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ЕС использует разнообразные географические модели и тематические программы развития международных отношений в сфере культуры. Например, программа «Креативная Европа», «Европейский фактор в области демократии и прав человека» и т.</w:t>
      </w:r>
      <w:r>
        <w:t> </w:t>
      </w:r>
      <w:r>
        <w:rPr>
          <w:lang w:val="ru-RU"/>
        </w:rPr>
        <w:t>д. Культурное разнообразие и межкультурный диалог являются неотъемлемой частью ценностей Европейского Союза и играют важную роль в продвижении прав человека, терпимости и недопущения дискриминации во всем мире. ЕС концентрируется на своей растущей положительной роли в международных отношениях.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>Однако нужно отметить, что в самом Союзе возникает проблема мультикультурности, которая так или иначе связана с размыванием системы традиционных ценностей. С одной стороны – толерантное отношение к нормам поведения другой культуры – это проявление демократии. С другой стороны в сознании подрастающего поколения относительность культурных и моральных стандартов допускает возможность альтернативных моделей поведения, что, в конечном итоге, осложняет процесс инкультурации и ослабляет чувство национальной идентичности. Таким образом, постепенно формируется поколение, у которого европейские ценности преобладают над национальными.</w:t>
      </w:r>
    </w:p>
    <w:p>
      <w:pPr>
        <w:pStyle w:val="3"/>
        <w:spacing w:beforeAutospacing="0" w:afterAutospacing="0"/>
        <w:ind w:firstLine="420"/>
        <w:jc w:val="both"/>
        <w:textAlignment w:val="baseline"/>
        <w:rPr>
          <w:lang w:val="ru-RU"/>
        </w:rPr>
      </w:pPr>
      <w:r>
        <w:rPr>
          <w:lang w:val="ru-RU"/>
        </w:rPr>
        <w:t xml:space="preserve">Признавая необходимость комплексного подхода к культуре, Европейский Союз стремится включить международные отношения в сфере культуры в число внешнеполитических инструментов, с целью повысить эффективность и влияние своей внешней политики. Так, например, европейская повестка дня в области культуры на 2018 год была направлена на привлечение внимания общественности к общему разнообразному наследию Европы и использование потенциала культуры для создания более справедливого Союза с тесными социальными связями. 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Таким образом, Европейский Союз стремится развивать: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- взаимное обучение, межкультурное взаимопонимание и доверие между ЕС и его внешними партнерами, отводя сфере местной культуры роль двигателя инклюзивного и устойчивого развития, социального и культурного прогресса, а также способствуя культурному разнообразию, инновациям и экономической стабильности;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- внешние аспекты политики, программ и проектов в области культуры, а также культурное и творческое направление в международных отношениях ЕС и государств-членов путем укрепления межсекторального сотрудничества между структурами Союза и государствами-членами и внутри них. 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Соответствующая Рамочная программа действий предлагает государствам-членам и институтам ЕС, помимо прочего, усилить взаимодействие в вопросах развития отношений в сфере культуры, углубить сотрудничество с третьими странами и международными организациями, а также реализовать совместные проекты и действия в третьих странах.</w:t>
      </w:r>
    </w:p>
    <w:p>
      <w:pPr>
        <w:spacing w:after="0"/>
        <w:ind w:firstLine="42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Становление и развитие единой культурной политики ЕС не имело линейного характера: изначально, не являясь приоритетной целью европейской интеграции, она развивалась волнообразно и достаточно стихийно, в качестве реакции на внешнеполитические стимулы. Так, основными пиками роста культурной политики союза можно считать середины 70-х гг. и начало первого десятилетия </w:t>
      </w:r>
      <w:r>
        <w:rPr>
          <w:rFonts w:ascii="Times New Roman" w:hAnsi="Times New Roman" w:eastAsia="SimSun" w:cs="Times New Roman"/>
          <w:sz w:val="24"/>
          <w:szCs w:val="24"/>
        </w:rPr>
        <w:t>XXI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в. Первый пик связан с расширением ЕС и геополитическими изменениями; второй обусловлен исчерпанными возможностями экономической интеграции и отсутствием возможностей дальнейшей политической интеграции. В настоящий момент ЕС активно занимается развитием международных культурных отношений, ратует за усиление роли культуры во внешних связях.</w:t>
      </w:r>
    </w:p>
    <w:p>
      <w:p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Список использованной литературы:</w:t>
      </w:r>
    </w:p>
    <w:p>
      <w:pPr>
        <w:numPr>
          <w:ilvl w:val="0"/>
          <w:numId w:val="3"/>
        </w:num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 xml:space="preserve">Лавринова Н. Н. Культурная политика // Аналитика культурологии. 2010. №17. URL: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instrText xml:space="preserve"> HYPERLINK "https://cyberleninka.ru/article/n/kulturnaya-politika"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spacing w:val="0"/>
          <w:sz w:val="24"/>
          <w:szCs w:val="24"/>
        </w:rPr>
        <w:t>https://cyberleninka.ru/article/n/kulturnaya-politika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 xml:space="preserve"> (дата обращения: 20.04.2020).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Табаринцева-Романова, К. М. Культурная политика и дипломатия Европейского союза : учеб. пособие / К. М. Табаринцева-Романова ; М-во образования и науки Рос. Федерации, Урал. федер. ун-т. – Екатеринбург : Изд-во Урал. ун-та, 2018. – 110 с.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lang w:val="ru-RU"/>
        </w:rPr>
        <w:t xml:space="preserve">Елескина Ольга Владимировна Некоторые аспекты культурной политики ЕС // Вестник КемГУ. 2015. №3-2 (63). </w:t>
      </w:r>
      <w:r>
        <w:rPr>
          <w:rFonts w:ascii="Times New Roman" w:hAnsi="Times New Roman" w:eastAsia="sans-serif" w:cs="Times New Roman"/>
          <w:sz w:val="24"/>
          <w:szCs w:val="24"/>
        </w:rPr>
        <w:t>URL</w:t>
      </w:r>
      <w:r>
        <w:rPr>
          <w:rFonts w:ascii="Times New Roman" w:hAnsi="Times New Roman" w:eastAsia="sans-serif" w:cs="Times New Roman"/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"https://cyberleninka.ru/article/n/nekotorye-aspekty-kulturnoy-politiki-es"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https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cyberleninka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ru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article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n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nekotorye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aspekty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kulturnoy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politiki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es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fldChar w:fldCharType="end"/>
      </w:r>
      <w:r>
        <w:rPr>
          <w:rFonts w:ascii="Times New Roman" w:hAnsi="Times New Roman" w:eastAsia="sans-serif" w:cs="Times New Roman"/>
          <w:sz w:val="24"/>
          <w:szCs w:val="24"/>
          <w:lang w:val="ru-RU"/>
        </w:rPr>
        <w:t xml:space="preserve"> (дата обращения: 14.04.2020).</w:t>
      </w:r>
      <w:r>
        <w:rPr>
          <w:rFonts w:ascii="sans-serif" w:hAnsi="sans-serif" w:eastAsia="sans-serif" w:cs="sans-serif"/>
          <w:color w:val="FFFFFF"/>
          <w:sz w:val="24"/>
          <w:szCs w:val="24"/>
          <w:lang w:val="ru-RU"/>
        </w:rPr>
        <w:t>Ел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Договор, учреждающий Европейское Сообщество (Рим, 25 марта 1957 г.) (консолидированный текст с учѐтом Ниццских изменений от 16 апреля 2003 г.) // Право Европейского Союза. Режим доступа: </w:t>
      </w:r>
      <w:r>
        <w:fldChar w:fldCharType="begin"/>
      </w:r>
      <w:r>
        <w:instrText xml:space="preserve"> HYPERLINK "http://eulaw.ru/content/2001ески"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http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eulaw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ru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content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/2001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ески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Договор о Европейском Союзе (Маастрихт, 7 февраля 1992 г.) (в редакции Лиссабонского договора от 13 декабря 2007 г.) // Право Европейского Союза. Режим доступа: </w:t>
      </w:r>
      <w:r>
        <w:fldChar w:fldCharType="begin"/>
      </w:r>
      <w:r>
        <w:instrText xml:space="preserve"> HYPERLINK "http://eulaw.ru/treaties/teu"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http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eulaw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ru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treaties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teu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Европейская культурная конвенция (Париж, 19 декабря 1954 г.) // Совет Европы. Режим доступа: </w:t>
      </w:r>
      <w:r>
        <w:fldChar w:fldCharType="begin"/>
      </w:r>
      <w:r>
        <w:instrText xml:space="preserve"> HYPERLINK "http://conventions.coe.int/Treaty/RUS/Treaties/Html/018.htm"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http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conventions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coe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int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Treaty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RUS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Treaties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Html</w:t>
      </w:r>
      <w:r>
        <w:rPr>
          <w:rStyle w:val="5"/>
          <w:rFonts w:ascii="Times New Roman" w:hAnsi="Times New Roman" w:eastAsia="SimSun" w:cs="Times New Roman"/>
          <w:sz w:val="24"/>
          <w:szCs w:val="24"/>
          <w:lang w:val="ru-RU"/>
        </w:rPr>
        <w:t>/018.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htm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Единый Европейский Акт (Люксембург, 17 февраля 1986 г.) // Электронный фонд правовой и нормативно-технической документации Техэксперт. </w:t>
      </w:r>
      <w:r>
        <w:rPr>
          <w:rFonts w:ascii="Times New Roman" w:hAnsi="Times New Roman" w:eastAsia="SimSun" w:cs="Times New Roman"/>
          <w:sz w:val="24"/>
          <w:szCs w:val="24"/>
        </w:rPr>
        <w:t xml:space="preserve">Режим доступа: </w:t>
      </w:r>
      <w:r>
        <w:fldChar w:fldCharType="begin"/>
      </w:r>
      <w:r>
        <w:instrText xml:space="preserve"> HYPERLINK "http://docs.cntd.ru/document/901771690"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t>http://docs.cntd.ru/document/901771690</w:t>
      </w:r>
      <w:r>
        <w:rPr>
          <w:rStyle w:val="5"/>
          <w:rFonts w:ascii="Times New Roman" w:hAnsi="Times New Roman" w:eastAsia="SimSun"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"https://www.culturepartnership.eu/article/cultural-strategy-five-princeplesа"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https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www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culturepartnership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eu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article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cultural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strategy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five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princeples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а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"https://eeas.europa.eu/headquarters/headquarters-homepage_ru/60946/Стратегический%20подход%20ЕС%20к%20международным%20отношениям%20в%20сфере%20культуры"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https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://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eeas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europa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eu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headquarters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headquarters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-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homepage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_</w:t>
      </w:r>
      <w:r>
        <w:rPr>
          <w:rStyle w:val="5"/>
          <w:rFonts w:ascii="Times New Roman" w:hAnsi="Times New Roman" w:eastAsia="sans-serif" w:cs="Times New Roman"/>
          <w:sz w:val="24"/>
          <w:szCs w:val="24"/>
        </w:rPr>
        <w:t>ru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t>/60946/Стратегический%20подход%20ЕС%20к%20международным%20отношениям%20в%20сфере%20культуры</w:t>
      </w:r>
      <w:r>
        <w:rPr>
          <w:rStyle w:val="5"/>
          <w:rFonts w:ascii="Times New Roman" w:hAnsi="Times New Roman" w:eastAsia="sans-serif" w:cs="Times New Roman"/>
          <w:sz w:val="24"/>
          <w:szCs w:val="24"/>
          <w:lang w:val="ru-RU"/>
        </w:rPr>
        <w:fldChar w:fldCharType="end"/>
      </w:r>
    </w:p>
    <w:p>
      <w:pPr>
        <w:spacing w:after="0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ans-serif" w:cs="Times New Roman"/>
          <w:sz w:val="24"/>
          <w:szCs w:val="24"/>
          <w:lang w:val="ru-RU"/>
        </w:rPr>
        <w:t xml:space="preserve"> </w:t>
      </w:r>
      <w:r>
        <w:rPr>
          <w:rFonts w:ascii="sans-serif" w:hAnsi="sans-serif" w:eastAsia="sans-serif" w:cs="sans-serif"/>
          <w:color w:val="FFFFFF"/>
          <w:sz w:val="24"/>
          <w:szCs w:val="24"/>
          <w:lang w:val="ru-RU"/>
        </w:rPr>
        <w:t xml:space="preserve">Ольга 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D08E6"/>
    <w:multiLevelType w:val="singleLevel"/>
    <w:tmpl w:val="C63D08E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79E2AF0"/>
    <w:multiLevelType w:val="multilevel"/>
    <w:tmpl w:val="479E2A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0C20A4"/>
    <w:multiLevelType w:val="multilevel"/>
    <w:tmpl w:val="6E0C20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742A"/>
    <w:rsid w:val="00090453"/>
    <w:rsid w:val="003049C6"/>
    <w:rsid w:val="00330D34"/>
    <w:rsid w:val="004344A8"/>
    <w:rsid w:val="00452C76"/>
    <w:rsid w:val="00454412"/>
    <w:rsid w:val="007C30B3"/>
    <w:rsid w:val="007F15C9"/>
    <w:rsid w:val="00832C55"/>
    <w:rsid w:val="00925593"/>
    <w:rsid w:val="00B564C0"/>
    <w:rsid w:val="00CE518A"/>
    <w:rsid w:val="00D03596"/>
    <w:rsid w:val="00E25E7D"/>
    <w:rsid w:val="00E328FB"/>
    <w:rsid w:val="00E70B4F"/>
    <w:rsid w:val="00E8489C"/>
    <w:rsid w:val="00EA0083"/>
    <w:rsid w:val="05216B8C"/>
    <w:rsid w:val="07B82EC0"/>
    <w:rsid w:val="093072AC"/>
    <w:rsid w:val="120365B2"/>
    <w:rsid w:val="1A0B4A0B"/>
    <w:rsid w:val="2593686B"/>
    <w:rsid w:val="2844269D"/>
    <w:rsid w:val="2E2E0C78"/>
    <w:rsid w:val="365307A1"/>
    <w:rsid w:val="39337684"/>
    <w:rsid w:val="4CBF76DC"/>
    <w:rsid w:val="4D9859E8"/>
    <w:rsid w:val="51BE5E93"/>
    <w:rsid w:val="51EC742A"/>
    <w:rsid w:val="54725E9B"/>
    <w:rsid w:val="54E12332"/>
    <w:rsid w:val="5CDF3919"/>
    <w:rsid w:val="5D6C5CF6"/>
    <w:rsid w:val="66C92553"/>
    <w:rsid w:val="6A85144B"/>
    <w:rsid w:val="6EEE7CBC"/>
    <w:rsid w:val="6FC45CB2"/>
    <w:rsid w:val="76B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="0" w:afterAutospacing="1" w:line="276" w:lineRule="auto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paragraph" w:styleId="8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2787</Words>
  <Characters>15889</Characters>
  <Lines>132</Lines>
  <Paragraphs>37</Paragraphs>
  <TotalTime>69</TotalTime>
  <ScaleCrop>false</ScaleCrop>
  <LinksUpToDate>false</LinksUpToDate>
  <CharactersWithSpaces>18639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2020-04-19T21:22:00Z</dcterms:created>
  <dc:creator>Admin</dc:creator>
  <cp:lastModifiedBy>google1569957655</cp:lastModifiedBy>
  <dcterms:modified xsi:type="dcterms:W3CDTF">2020-04-20T14:53:42Z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