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78" w:rsidRPr="009C5778" w:rsidRDefault="009C5778" w:rsidP="0070460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778">
        <w:rPr>
          <w:rFonts w:ascii="Times New Roman" w:eastAsia="Calibri" w:hAnsi="Times New Roman" w:cs="Times New Roman"/>
          <w:b/>
          <w:sz w:val="24"/>
          <w:szCs w:val="24"/>
        </w:rPr>
        <w:t>Исследование роли нейронов</w:t>
      </w:r>
      <w:r w:rsidR="00A1010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C5778">
        <w:rPr>
          <w:rFonts w:ascii="Times New Roman" w:eastAsia="Calibri" w:hAnsi="Times New Roman" w:cs="Times New Roman"/>
          <w:b/>
          <w:sz w:val="24"/>
          <w:szCs w:val="24"/>
        </w:rPr>
        <w:t xml:space="preserve"> синтезирующих </w:t>
      </w:r>
      <w:proofErr w:type="spellStart"/>
      <w:r w:rsidRPr="009C5778">
        <w:rPr>
          <w:rFonts w:ascii="Times New Roman" w:eastAsia="Calibri" w:hAnsi="Times New Roman" w:cs="Times New Roman"/>
          <w:b/>
          <w:sz w:val="24"/>
          <w:szCs w:val="24"/>
        </w:rPr>
        <w:t>глюкагон</w:t>
      </w:r>
      <w:r w:rsidR="005011D4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C5778">
        <w:rPr>
          <w:rFonts w:ascii="Times New Roman" w:eastAsia="Calibri" w:hAnsi="Times New Roman" w:cs="Times New Roman"/>
          <w:b/>
          <w:sz w:val="24"/>
          <w:szCs w:val="24"/>
        </w:rPr>
        <w:t>подобный</w:t>
      </w:r>
      <w:proofErr w:type="spellEnd"/>
      <w:r w:rsidRPr="009C5778">
        <w:rPr>
          <w:rFonts w:ascii="Times New Roman" w:eastAsia="Calibri" w:hAnsi="Times New Roman" w:cs="Times New Roman"/>
          <w:b/>
          <w:sz w:val="24"/>
          <w:szCs w:val="24"/>
        </w:rPr>
        <w:t xml:space="preserve"> пептид-1</w:t>
      </w:r>
      <w:r w:rsidR="00A1010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C5778">
        <w:rPr>
          <w:rFonts w:ascii="Times New Roman" w:eastAsia="Calibri" w:hAnsi="Times New Roman" w:cs="Times New Roman"/>
          <w:b/>
          <w:sz w:val="24"/>
          <w:szCs w:val="24"/>
        </w:rPr>
        <w:t xml:space="preserve"> в механизмах «космической анорексии» с использованием модели действия </w:t>
      </w:r>
      <w:proofErr w:type="spellStart"/>
      <w:r w:rsidRPr="009C5778">
        <w:rPr>
          <w:rFonts w:ascii="Times New Roman" w:eastAsia="Calibri" w:hAnsi="Times New Roman" w:cs="Times New Roman"/>
          <w:b/>
          <w:sz w:val="24"/>
          <w:szCs w:val="24"/>
        </w:rPr>
        <w:t>микрогравитации</w:t>
      </w:r>
      <w:proofErr w:type="spellEnd"/>
      <w:r w:rsidRPr="009C5778">
        <w:rPr>
          <w:rFonts w:ascii="Times New Roman" w:eastAsia="Calibri" w:hAnsi="Times New Roman" w:cs="Times New Roman"/>
          <w:b/>
          <w:sz w:val="24"/>
          <w:szCs w:val="24"/>
        </w:rPr>
        <w:t xml:space="preserve"> в наземных условиях</w:t>
      </w:r>
    </w:p>
    <w:p w:rsidR="009C5778" w:rsidRPr="009C5778" w:rsidRDefault="009C5778" w:rsidP="0070460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5778">
        <w:rPr>
          <w:rFonts w:ascii="Times New Roman" w:eastAsia="Calibri" w:hAnsi="Times New Roman" w:cs="Times New Roman"/>
          <w:b/>
          <w:i/>
          <w:sz w:val="24"/>
          <w:szCs w:val="24"/>
        </w:rPr>
        <w:t>Семенова М</w:t>
      </w:r>
      <w:r w:rsidR="005011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арина </w:t>
      </w:r>
      <w:r w:rsidRPr="009C5778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="005011D4">
        <w:rPr>
          <w:rFonts w:ascii="Times New Roman" w:eastAsia="Calibri" w:hAnsi="Times New Roman" w:cs="Times New Roman"/>
          <w:b/>
          <w:i/>
          <w:sz w:val="24"/>
          <w:szCs w:val="24"/>
        </w:rPr>
        <w:t>лексеевна</w:t>
      </w:r>
    </w:p>
    <w:p w:rsidR="009C5778" w:rsidRPr="009C5778" w:rsidRDefault="009C5778" w:rsidP="0070460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C5778">
        <w:rPr>
          <w:rFonts w:ascii="Times New Roman" w:eastAsia="Calibri" w:hAnsi="Times New Roman" w:cs="Times New Roman"/>
          <w:i/>
          <w:sz w:val="24"/>
          <w:szCs w:val="24"/>
        </w:rPr>
        <w:t>Аспирант 1 года обучения</w:t>
      </w:r>
    </w:p>
    <w:p w:rsidR="009C5778" w:rsidRPr="009C5778" w:rsidRDefault="009C5778" w:rsidP="0070460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C5778">
        <w:rPr>
          <w:rFonts w:ascii="Times New Roman" w:eastAsia="Calibri" w:hAnsi="Times New Roman" w:cs="Times New Roman"/>
          <w:i/>
          <w:sz w:val="24"/>
          <w:szCs w:val="24"/>
        </w:rPr>
        <w:t>Федеральное государственное бюджетное образовательное учреждение высшего образования «Удмуртский государственный университет»</w:t>
      </w:r>
    </w:p>
    <w:p w:rsidR="009C5778" w:rsidRPr="009C5778" w:rsidRDefault="009C5778" w:rsidP="0070460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C5778">
        <w:rPr>
          <w:rFonts w:ascii="Times New Roman" w:eastAsia="Calibri" w:hAnsi="Times New Roman" w:cs="Times New Roman"/>
          <w:i/>
          <w:sz w:val="24"/>
          <w:szCs w:val="24"/>
        </w:rPr>
        <w:t>Институт Естественных Наук, Ижевск, Россия</w:t>
      </w:r>
    </w:p>
    <w:p w:rsidR="009C5778" w:rsidRPr="009C5778" w:rsidRDefault="009C5778" w:rsidP="0070460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C5778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9C5778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9C5778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9C5778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9C5778">
        <w:rPr>
          <w:rFonts w:ascii="Times New Roman" w:eastAsia="Calibri" w:hAnsi="Times New Roman" w:cs="Times New Roman"/>
          <w:i/>
          <w:sz w:val="24"/>
          <w:szCs w:val="24"/>
          <w:lang w:val="en-US"/>
        </w:rPr>
        <w:t>nightsilvercat</w:t>
      </w:r>
      <w:proofErr w:type="spellEnd"/>
      <w:r w:rsidRPr="009C5778">
        <w:rPr>
          <w:rFonts w:ascii="Times New Roman" w:eastAsia="Calibri" w:hAnsi="Times New Roman" w:cs="Times New Roman"/>
          <w:i/>
          <w:sz w:val="24"/>
          <w:szCs w:val="24"/>
        </w:rPr>
        <w:t>@</w:t>
      </w:r>
      <w:proofErr w:type="spellStart"/>
      <w:r w:rsidRPr="009C5778">
        <w:rPr>
          <w:rFonts w:ascii="Times New Roman" w:eastAsia="Calibri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9C577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C5778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com</w:t>
      </w:r>
    </w:p>
    <w:p w:rsidR="009C5778" w:rsidRDefault="009C5778" w:rsidP="0070460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87950" w:rsidRDefault="00797287" w:rsidP="0070460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Исследования, проведенные во время космических миссий, показали, что несмотря на свободный доступ к пище, вес тела и пищевое потребление большинства участников космического полета снижено. Это явление получило в литературе определение «космическая анорексия». Предполагается, что основной причиной космической анорексии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микрогравитация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инициирует ряд взаимосвязанных процессов: активацию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нейровестибулярной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A10100">
        <w:rPr>
          <w:rFonts w:ascii="Times New Roman" w:hAnsi="Times New Roman" w:cs="Times New Roman"/>
          <w:sz w:val="24"/>
          <w:szCs w:val="24"/>
        </w:rPr>
        <w:t xml:space="preserve"> (основ</w:t>
      </w:r>
      <w:r w:rsidR="00544C9F">
        <w:rPr>
          <w:rFonts w:ascii="Times New Roman" w:hAnsi="Times New Roman" w:cs="Times New Roman"/>
          <w:sz w:val="24"/>
          <w:szCs w:val="24"/>
        </w:rPr>
        <w:t>а</w:t>
      </w:r>
      <w:r w:rsidR="00A10100">
        <w:rPr>
          <w:rFonts w:ascii="Times New Roman" w:hAnsi="Times New Roman" w:cs="Times New Roman"/>
          <w:sz w:val="24"/>
          <w:szCs w:val="24"/>
        </w:rPr>
        <w:t xml:space="preserve"> болезни «космического укачивания»)</w:t>
      </w:r>
      <w:r>
        <w:rPr>
          <w:rFonts w:ascii="Times New Roman" w:hAnsi="Times New Roman" w:cs="Times New Roman"/>
          <w:sz w:val="24"/>
          <w:szCs w:val="24"/>
        </w:rPr>
        <w:t xml:space="preserve">, дисфункцию желудочно-кишечной и сердечно-сосудистой систем и активацию стрессовой реакции </w:t>
      </w:r>
      <w:r w:rsidRPr="00797287">
        <w:rPr>
          <w:rFonts w:ascii="Times New Roman" w:hAnsi="Times New Roman" w:cs="Times New Roman"/>
          <w:sz w:val="24"/>
          <w:szCs w:val="24"/>
        </w:rPr>
        <w:t>[</w:t>
      </w:r>
      <w:r w:rsidR="00544C9F">
        <w:rPr>
          <w:rFonts w:ascii="Times New Roman" w:hAnsi="Times New Roman" w:cs="Times New Roman"/>
          <w:sz w:val="24"/>
          <w:szCs w:val="24"/>
        </w:rPr>
        <w:t>2</w:t>
      </w:r>
      <w:r w:rsidRPr="007972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Мы предположили, что ключевой нейронной популяцией, интегрирующей висцеральную и гуморальную информацию, вызываемую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микрогравитацией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является специфическая группа нейронов каудальной части ядер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тракта продолговатого мозга, синтезирующих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глюкагон</w:t>
      </w:r>
      <w:r w:rsidR="005011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подобный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пептид-1 (</w:t>
      </w:r>
      <w:r>
        <w:rPr>
          <w:rFonts w:ascii="Times New Roman" w:hAnsi="Times New Roman" w:cs="Times New Roman"/>
          <w:sz w:val="24"/>
          <w:szCs w:val="24"/>
          <w:lang w:val="en-US"/>
        </w:rPr>
        <w:t>GLP</w:t>
      </w:r>
      <w:r w:rsidRPr="00797287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). Показано, что этот пептид, воздействуя на рецепторы </w:t>
      </w:r>
      <w:r>
        <w:rPr>
          <w:rFonts w:ascii="Times New Roman" w:hAnsi="Times New Roman" w:cs="Times New Roman"/>
          <w:sz w:val="24"/>
          <w:szCs w:val="24"/>
          <w:lang w:val="en-US"/>
        </w:rPr>
        <w:t>GLP</w:t>
      </w:r>
      <w:r w:rsidRPr="00797287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подавляет потребление пищи, ослабляет реакцию подкрепления, увеличивает избегание и стимулирует стрессовые реакции </w:t>
      </w:r>
      <w:r w:rsidRPr="00797287">
        <w:rPr>
          <w:rFonts w:ascii="Times New Roman" w:hAnsi="Times New Roman" w:cs="Times New Roman"/>
          <w:sz w:val="24"/>
          <w:szCs w:val="24"/>
        </w:rPr>
        <w:t>[</w:t>
      </w:r>
      <w:r w:rsidR="00544C9F">
        <w:rPr>
          <w:rFonts w:ascii="Times New Roman" w:hAnsi="Times New Roman" w:cs="Times New Roman"/>
          <w:sz w:val="24"/>
          <w:szCs w:val="24"/>
        </w:rPr>
        <w:t>1,3</w:t>
      </w:r>
      <w:r w:rsidRPr="007972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Целью нашего эксперимента стало исследование активности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GLP</w:t>
      </w:r>
      <w:r w:rsidRPr="00797287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-эргических нейронов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антиортостатически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вывешенных мышей</w:t>
      </w:r>
      <w:r w:rsidR="00A10100">
        <w:rPr>
          <w:rFonts w:ascii="Times New Roman" w:hAnsi="Times New Roman" w:cs="Times New Roman"/>
          <w:sz w:val="24"/>
          <w:szCs w:val="24"/>
        </w:rPr>
        <w:t xml:space="preserve"> (модель </w:t>
      </w:r>
      <w:proofErr w:type="spellStart"/>
      <w:r w:rsidR="00A10100">
        <w:rPr>
          <w:rFonts w:ascii="Times New Roman" w:hAnsi="Times New Roman" w:cs="Times New Roman"/>
          <w:sz w:val="24"/>
          <w:szCs w:val="24"/>
        </w:rPr>
        <w:t>микрогравитации</w:t>
      </w:r>
      <w:proofErr w:type="spellEnd"/>
      <w:r w:rsidR="00A10100">
        <w:rPr>
          <w:rFonts w:ascii="Times New Roman" w:hAnsi="Times New Roman" w:cs="Times New Roman"/>
          <w:sz w:val="24"/>
          <w:szCs w:val="24"/>
        </w:rPr>
        <w:t xml:space="preserve"> в наземных условиях)</w:t>
      </w:r>
      <w:r>
        <w:rPr>
          <w:rFonts w:ascii="Times New Roman" w:hAnsi="Times New Roman" w:cs="Times New Roman"/>
          <w:sz w:val="24"/>
          <w:szCs w:val="24"/>
        </w:rPr>
        <w:t xml:space="preserve">, а также нейронов в гипоталамических ядрах, вовлеченных в регуляцию пищевого потребления. Исследование проведено на 16 белых мышах, половина из которых подвергалась двухнедельному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антиортостатическому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вывешиванию. Через две недели эксперимента животных контрольной и экспериментальной </w:t>
      </w:r>
      <w:r w:rsidR="009C5778">
        <w:rPr>
          <w:rFonts w:ascii="Times New Roman" w:hAnsi="Times New Roman" w:cs="Times New Roman"/>
          <w:sz w:val="24"/>
          <w:szCs w:val="24"/>
        </w:rPr>
        <w:t xml:space="preserve">групп фиксировали </w:t>
      </w:r>
      <w:r w:rsidR="00313418">
        <w:rPr>
          <w:rFonts w:ascii="Times New Roman" w:hAnsi="Times New Roman" w:cs="Times New Roman"/>
          <w:sz w:val="24"/>
          <w:szCs w:val="24"/>
        </w:rPr>
        <w:t>интра</w:t>
      </w:r>
      <w:r w:rsidR="009C5778">
        <w:rPr>
          <w:rFonts w:ascii="Times New Roman" w:hAnsi="Times New Roman" w:cs="Times New Roman"/>
          <w:sz w:val="24"/>
          <w:szCs w:val="24"/>
        </w:rPr>
        <w:t xml:space="preserve">кардиальной перфузией 4% </w:t>
      </w:r>
      <w:proofErr w:type="spellStart"/>
      <w:r w:rsidR="009C5778">
        <w:rPr>
          <w:rFonts w:ascii="Times New Roman" w:hAnsi="Times New Roman" w:cs="Times New Roman"/>
          <w:sz w:val="24"/>
          <w:szCs w:val="24"/>
        </w:rPr>
        <w:t>параформальдегид</w:t>
      </w:r>
      <w:r w:rsidR="007046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C5778">
        <w:rPr>
          <w:rFonts w:ascii="Times New Roman" w:hAnsi="Times New Roman" w:cs="Times New Roman"/>
          <w:sz w:val="24"/>
          <w:szCs w:val="24"/>
        </w:rPr>
        <w:t xml:space="preserve">, получали серийные </w:t>
      </w:r>
      <w:proofErr w:type="spellStart"/>
      <w:r w:rsidR="009C5778">
        <w:rPr>
          <w:rFonts w:ascii="Times New Roman" w:hAnsi="Times New Roman" w:cs="Times New Roman"/>
          <w:sz w:val="24"/>
          <w:szCs w:val="24"/>
        </w:rPr>
        <w:t>криостатные</w:t>
      </w:r>
      <w:proofErr w:type="spellEnd"/>
      <w:r w:rsidR="009C5778">
        <w:rPr>
          <w:rFonts w:ascii="Times New Roman" w:hAnsi="Times New Roman" w:cs="Times New Roman"/>
          <w:sz w:val="24"/>
          <w:szCs w:val="24"/>
        </w:rPr>
        <w:t xml:space="preserve"> срезы мозга и, используя </w:t>
      </w:r>
      <w:proofErr w:type="spellStart"/>
      <w:r w:rsidR="009C5778">
        <w:rPr>
          <w:rFonts w:ascii="Times New Roman" w:hAnsi="Times New Roman" w:cs="Times New Roman"/>
          <w:sz w:val="24"/>
          <w:szCs w:val="24"/>
        </w:rPr>
        <w:t>иммуногистохимически</w:t>
      </w:r>
      <w:r w:rsidR="0070460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C5778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70460B">
        <w:rPr>
          <w:rFonts w:ascii="Times New Roman" w:hAnsi="Times New Roman" w:cs="Times New Roman"/>
          <w:sz w:val="24"/>
          <w:szCs w:val="24"/>
        </w:rPr>
        <w:t>ы</w:t>
      </w:r>
      <w:r w:rsidR="009C5778">
        <w:rPr>
          <w:rFonts w:ascii="Times New Roman" w:hAnsi="Times New Roman" w:cs="Times New Roman"/>
          <w:sz w:val="24"/>
          <w:szCs w:val="24"/>
        </w:rPr>
        <w:t xml:space="preserve">, выявляли в них белки </w:t>
      </w:r>
      <w:r w:rsidR="009C57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C5778" w:rsidRPr="009C57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92A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C5778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="009C5778" w:rsidRPr="009C5778">
        <w:rPr>
          <w:rFonts w:ascii="Times New Roman" w:hAnsi="Times New Roman" w:cs="Times New Roman"/>
          <w:sz w:val="24"/>
          <w:szCs w:val="24"/>
        </w:rPr>
        <w:t xml:space="preserve"> (</w:t>
      </w:r>
      <w:r w:rsidR="009C5778">
        <w:rPr>
          <w:rFonts w:ascii="Times New Roman" w:hAnsi="Times New Roman" w:cs="Times New Roman"/>
          <w:sz w:val="24"/>
          <w:szCs w:val="24"/>
        </w:rPr>
        <w:t>маркер активации</w:t>
      </w:r>
      <w:r w:rsidR="009C5778" w:rsidRPr="009C5778">
        <w:rPr>
          <w:rFonts w:ascii="Times New Roman" w:hAnsi="Times New Roman" w:cs="Times New Roman"/>
          <w:sz w:val="24"/>
          <w:szCs w:val="24"/>
        </w:rPr>
        <w:t>)</w:t>
      </w:r>
      <w:r w:rsidR="009C5778">
        <w:rPr>
          <w:rFonts w:ascii="Times New Roman" w:hAnsi="Times New Roman" w:cs="Times New Roman"/>
          <w:sz w:val="24"/>
          <w:szCs w:val="24"/>
        </w:rPr>
        <w:t xml:space="preserve"> и </w:t>
      </w:r>
      <w:r w:rsidR="009C5778">
        <w:rPr>
          <w:rFonts w:ascii="Times New Roman" w:hAnsi="Times New Roman" w:cs="Times New Roman"/>
          <w:sz w:val="24"/>
          <w:szCs w:val="24"/>
          <w:lang w:val="en-US"/>
        </w:rPr>
        <w:t>GLP</w:t>
      </w:r>
      <w:r w:rsidR="009C5778" w:rsidRPr="009C5778">
        <w:rPr>
          <w:rFonts w:ascii="Times New Roman" w:hAnsi="Times New Roman" w:cs="Times New Roman"/>
          <w:sz w:val="24"/>
          <w:szCs w:val="24"/>
        </w:rPr>
        <w:t>-1</w:t>
      </w:r>
      <w:r w:rsidR="009C5778">
        <w:rPr>
          <w:rFonts w:ascii="Times New Roman" w:hAnsi="Times New Roman" w:cs="Times New Roman"/>
          <w:sz w:val="24"/>
          <w:szCs w:val="24"/>
        </w:rPr>
        <w:t xml:space="preserve">. Обнаружено, что </w:t>
      </w:r>
      <w:proofErr w:type="spellStart"/>
      <w:r w:rsidR="009C5778">
        <w:rPr>
          <w:rFonts w:ascii="Times New Roman" w:hAnsi="Times New Roman" w:cs="Times New Roman"/>
          <w:sz w:val="24"/>
          <w:szCs w:val="24"/>
        </w:rPr>
        <w:t>антиортостатическое</w:t>
      </w:r>
      <w:proofErr w:type="spellEnd"/>
      <w:r w:rsidR="009C5778">
        <w:rPr>
          <w:rFonts w:ascii="Times New Roman" w:hAnsi="Times New Roman" w:cs="Times New Roman"/>
          <w:sz w:val="24"/>
          <w:szCs w:val="24"/>
        </w:rPr>
        <w:t xml:space="preserve"> вывешивание ведет к значительному снижению потребления пищи, активации </w:t>
      </w:r>
      <w:r w:rsidR="009C5778">
        <w:rPr>
          <w:rFonts w:ascii="Times New Roman" w:hAnsi="Times New Roman" w:cs="Times New Roman"/>
          <w:sz w:val="24"/>
          <w:szCs w:val="24"/>
          <w:lang w:val="en-US"/>
        </w:rPr>
        <w:t>GLP</w:t>
      </w:r>
      <w:r w:rsidR="009C5778" w:rsidRPr="009C5778">
        <w:rPr>
          <w:rFonts w:ascii="Times New Roman" w:hAnsi="Times New Roman" w:cs="Times New Roman"/>
          <w:sz w:val="24"/>
          <w:szCs w:val="24"/>
        </w:rPr>
        <w:t>-1-</w:t>
      </w:r>
      <w:r w:rsidR="009C5778">
        <w:rPr>
          <w:rFonts w:ascii="Times New Roman" w:hAnsi="Times New Roman" w:cs="Times New Roman"/>
          <w:sz w:val="24"/>
          <w:szCs w:val="24"/>
        </w:rPr>
        <w:t xml:space="preserve">эргических нейронов в ядрах </w:t>
      </w:r>
      <w:proofErr w:type="spellStart"/>
      <w:r w:rsidR="009C5778">
        <w:rPr>
          <w:rFonts w:ascii="Times New Roman" w:hAnsi="Times New Roman" w:cs="Times New Roman"/>
          <w:sz w:val="24"/>
          <w:szCs w:val="24"/>
        </w:rPr>
        <w:t>солитарного</w:t>
      </w:r>
      <w:proofErr w:type="spellEnd"/>
      <w:r w:rsidR="009C5778">
        <w:rPr>
          <w:rFonts w:ascii="Times New Roman" w:hAnsi="Times New Roman" w:cs="Times New Roman"/>
          <w:sz w:val="24"/>
          <w:szCs w:val="24"/>
        </w:rPr>
        <w:t xml:space="preserve"> тракта, а также активации нейронов в латеральной гипоталамической области и мелкоклеточно</w:t>
      </w:r>
      <w:r w:rsidR="00A10100">
        <w:rPr>
          <w:rFonts w:ascii="Times New Roman" w:hAnsi="Times New Roman" w:cs="Times New Roman"/>
          <w:sz w:val="24"/>
          <w:szCs w:val="24"/>
        </w:rPr>
        <w:t>м</w:t>
      </w:r>
      <w:r w:rsidR="009C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778">
        <w:rPr>
          <w:rFonts w:ascii="Times New Roman" w:hAnsi="Times New Roman" w:cs="Times New Roman"/>
          <w:sz w:val="24"/>
          <w:szCs w:val="24"/>
        </w:rPr>
        <w:t>субъядре</w:t>
      </w:r>
      <w:proofErr w:type="spellEnd"/>
      <w:r w:rsidR="009C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778">
        <w:rPr>
          <w:rFonts w:ascii="Times New Roman" w:hAnsi="Times New Roman" w:cs="Times New Roman"/>
          <w:sz w:val="24"/>
          <w:szCs w:val="24"/>
        </w:rPr>
        <w:t>паравентрикулярных</w:t>
      </w:r>
      <w:proofErr w:type="spellEnd"/>
      <w:r w:rsidR="009C5778">
        <w:rPr>
          <w:rFonts w:ascii="Times New Roman" w:hAnsi="Times New Roman" w:cs="Times New Roman"/>
          <w:sz w:val="24"/>
          <w:szCs w:val="24"/>
        </w:rPr>
        <w:t xml:space="preserve"> ядер. Результаты подтверждают нашу гипотезу о том, что ключевым звеном, интегрирующим поступление </w:t>
      </w:r>
      <w:proofErr w:type="spellStart"/>
      <w:r w:rsidR="009C5778">
        <w:rPr>
          <w:rFonts w:ascii="Times New Roman" w:hAnsi="Times New Roman" w:cs="Times New Roman"/>
          <w:sz w:val="24"/>
          <w:szCs w:val="24"/>
        </w:rPr>
        <w:t>ангедонических</w:t>
      </w:r>
      <w:proofErr w:type="spellEnd"/>
      <w:r w:rsidR="009C5778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GoBack"/>
      <w:bookmarkEnd w:id="0"/>
      <w:r w:rsidR="009C5778">
        <w:rPr>
          <w:rFonts w:ascii="Times New Roman" w:hAnsi="Times New Roman" w:cs="Times New Roman"/>
          <w:sz w:val="24"/>
          <w:szCs w:val="24"/>
        </w:rPr>
        <w:t xml:space="preserve">игналов в центральную нервную систему при моделировании </w:t>
      </w:r>
      <w:proofErr w:type="spellStart"/>
      <w:r w:rsidR="009C5778">
        <w:rPr>
          <w:rFonts w:ascii="Times New Roman" w:hAnsi="Times New Roman" w:cs="Times New Roman"/>
          <w:sz w:val="24"/>
          <w:szCs w:val="24"/>
        </w:rPr>
        <w:t>микрогравитации</w:t>
      </w:r>
      <w:proofErr w:type="spellEnd"/>
      <w:r w:rsidR="009C5778">
        <w:rPr>
          <w:rFonts w:ascii="Times New Roman" w:hAnsi="Times New Roman" w:cs="Times New Roman"/>
          <w:sz w:val="24"/>
          <w:szCs w:val="24"/>
        </w:rPr>
        <w:t xml:space="preserve">, служит популяция нейронов ядер </w:t>
      </w:r>
      <w:proofErr w:type="spellStart"/>
      <w:r w:rsidR="009C5778">
        <w:rPr>
          <w:rFonts w:ascii="Times New Roman" w:hAnsi="Times New Roman" w:cs="Times New Roman"/>
          <w:sz w:val="24"/>
          <w:szCs w:val="24"/>
        </w:rPr>
        <w:t>солитарного</w:t>
      </w:r>
      <w:proofErr w:type="spellEnd"/>
      <w:r w:rsidR="009C5778">
        <w:rPr>
          <w:rFonts w:ascii="Times New Roman" w:hAnsi="Times New Roman" w:cs="Times New Roman"/>
          <w:sz w:val="24"/>
          <w:szCs w:val="24"/>
        </w:rPr>
        <w:t xml:space="preserve"> тракта, синтезирующих </w:t>
      </w:r>
      <w:r w:rsidR="009C5778">
        <w:rPr>
          <w:rFonts w:ascii="Times New Roman" w:hAnsi="Times New Roman" w:cs="Times New Roman"/>
          <w:sz w:val="24"/>
          <w:szCs w:val="24"/>
          <w:lang w:val="en-US"/>
        </w:rPr>
        <w:t>GLP</w:t>
      </w:r>
      <w:r w:rsidR="009C5778" w:rsidRPr="009C5778">
        <w:rPr>
          <w:rFonts w:ascii="Times New Roman" w:hAnsi="Times New Roman" w:cs="Times New Roman"/>
          <w:sz w:val="24"/>
          <w:szCs w:val="24"/>
        </w:rPr>
        <w:t>-1</w:t>
      </w:r>
      <w:r w:rsidR="009C5778">
        <w:rPr>
          <w:rFonts w:ascii="Times New Roman" w:hAnsi="Times New Roman" w:cs="Times New Roman"/>
          <w:sz w:val="24"/>
          <w:szCs w:val="24"/>
        </w:rPr>
        <w:t>, ответственны</w:t>
      </w:r>
      <w:r w:rsidR="00A10100">
        <w:rPr>
          <w:rFonts w:ascii="Times New Roman" w:hAnsi="Times New Roman" w:cs="Times New Roman"/>
          <w:sz w:val="24"/>
          <w:szCs w:val="24"/>
        </w:rPr>
        <w:t>х</w:t>
      </w:r>
      <w:r w:rsidR="009C5778">
        <w:rPr>
          <w:rFonts w:ascii="Times New Roman" w:hAnsi="Times New Roman" w:cs="Times New Roman"/>
          <w:sz w:val="24"/>
          <w:szCs w:val="24"/>
        </w:rPr>
        <w:t xml:space="preserve"> за активацию </w:t>
      </w:r>
      <w:proofErr w:type="spellStart"/>
      <w:r w:rsidR="009C5778">
        <w:rPr>
          <w:rFonts w:ascii="Times New Roman" w:hAnsi="Times New Roman" w:cs="Times New Roman"/>
          <w:sz w:val="24"/>
          <w:szCs w:val="24"/>
        </w:rPr>
        <w:t>аноректических</w:t>
      </w:r>
      <w:proofErr w:type="spellEnd"/>
      <w:r w:rsidR="009C5778">
        <w:rPr>
          <w:rFonts w:ascii="Times New Roman" w:hAnsi="Times New Roman" w:cs="Times New Roman"/>
          <w:sz w:val="24"/>
          <w:szCs w:val="24"/>
        </w:rPr>
        <w:t xml:space="preserve"> и ингибирование </w:t>
      </w:r>
      <w:proofErr w:type="spellStart"/>
      <w:r w:rsidR="009C5778">
        <w:rPr>
          <w:rFonts w:ascii="Times New Roman" w:hAnsi="Times New Roman" w:cs="Times New Roman"/>
          <w:sz w:val="24"/>
          <w:szCs w:val="24"/>
        </w:rPr>
        <w:t>ориксигенных</w:t>
      </w:r>
      <w:proofErr w:type="spellEnd"/>
      <w:r w:rsidR="009C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778">
        <w:rPr>
          <w:rFonts w:ascii="Times New Roman" w:hAnsi="Times New Roman" w:cs="Times New Roman"/>
          <w:sz w:val="24"/>
          <w:szCs w:val="24"/>
        </w:rPr>
        <w:t>пептидэргических</w:t>
      </w:r>
      <w:proofErr w:type="spellEnd"/>
      <w:r w:rsidR="009C5778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9C5778" w:rsidRPr="009C5778" w:rsidRDefault="009C5778" w:rsidP="0070460B">
      <w:pPr>
        <w:spacing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778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9C5778" w:rsidRPr="009C5778" w:rsidRDefault="009C5778" w:rsidP="0070460B">
      <w:pPr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C57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Card J.P., Johnson A.L., Llewellyn-Smith I.J., Zheng H., Anand R., Brierley D.I., Trapp S., </w:t>
      </w:r>
      <w:proofErr w:type="spellStart"/>
      <w:r w:rsidRPr="009C5778">
        <w:rPr>
          <w:rFonts w:ascii="Times New Roman" w:eastAsia="Calibri" w:hAnsi="Times New Roman" w:cs="Times New Roman"/>
          <w:sz w:val="24"/>
          <w:szCs w:val="24"/>
          <w:lang w:val="en-US"/>
        </w:rPr>
        <w:t>Rinaman</w:t>
      </w:r>
      <w:proofErr w:type="spellEnd"/>
      <w:r w:rsidRPr="009C57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L. Neurons form a local synaptic circuit within the rodent nucleus of the solitary tract // J Comp Neurol. 2018. Vol. 526, №14. P.2149-2164.</w:t>
      </w:r>
    </w:p>
    <w:p w:rsidR="009C5778" w:rsidRPr="009C5778" w:rsidRDefault="009C5778" w:rsidP="0070460B">
      <w:pPr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C57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 Silva M.S., Zimmerman P.M., </w:t>
      </w:r>
      <w:proofErr w:type="spellStart"/>
      <w:r w:rsidRPr="009C5778">
        <w:rPr>
          <w:rFonts w:ascii="Times New Roman" w:eastAsia="Calibri" w:hAnsi="Times New Roman" w:cs="Times New Roman"/>
          <w:sz w:val="24"/>
          <w:szCs w:val="24"/>
          <w:lang w:val="en-US"/>
        </w:rPr>
        <w:t>Meguid</w:t>
      </w:r>
      <w:proofErr w:type="spellEnd"/>
      <w:r w:rsidRPr="009C57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M.M. et al., Anorexia in space and possible etiologies: an overview // Nutrition. 2002. Vol.18</w:t>
      </w:r>
      <w:r w:rsidR="0070460B">
        <w:rPr>
          <w:rFonts w:ascii="Times New Roman" w:eastAsia="Calibri" w:hAnsi="Times New Roman" w:cs="Times New Roman"/>
          <w:sz w:val="24"/>
          <w:szCs w:val="24"/>
        </w:rPr>
        <w:t>.</w:t>
      </w:r>
      <w:r w:rsidRPr="009C57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P.805– 813.</w:t>
      </w:r>
    </w:p>
    <w:p w:rsidR="009C5778" w:rsidRPr="009C5778" w:rsidRDefault="009C5778" w:rsidP="0070460B">
      <w:pPr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C5778">
        <w:rPr>
          <w:rFonts w:ascii="Times New Roman" w:eastAsia="Calibri" w:hAnsi="Times New Roman" w:cs="Times New Roman"/>
          <w:sz w:val="24"/>
          <w:szCs w:val="24"/>
          <w:lang w:val="en-US"/>
        </w:rPr>
        <w:t>Trapp</w:t>
      </w:r>
      <w:r w:rsidR="0070460B" w:rsidRPr="007046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C5778">
        <w:rPr>
          <w:rFonts w:ascii="Times New Roman" w:eastAsia="Calibri" w:hAnsi="Times New Roman" w:cs="Times New Roman"/>
          <w:sz w:val="24"/>
          <w:szCs w:val="24"/>
          <w:lang w:val="en-US"/>
        </w:rPr>
        <w:t>S.</w:t>
      </w:r>
      <w:r w:rsidR="0070460B" w:rsidRPr="0070460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9C57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Cork, S.C. PPG neurons of the lower brain stem and their role in brain GLP‐1 receptor activation // American Journal of Physiology: Regulatory, Integrative and Comparative Physiology. 2015. Vol.309, №8. R795–R804</w:t>
      </w:r>
      <w:bookmarkStart w:id="1" w:name="_Hlk55995997"/>
      <w:r w:rsidRPr="009C57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bookmarkEnd w:id="1"/>
    </w:p>
    <w:sectPr w:rsidR="009C5778" w:rsidRPr="009C5778" w:rsidSect="0079728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376DA"/>
    <w:multiLevelType w:val="hybridMultilevel"/>
    <w:tmpl w:val="D9CE4BF4"/>
    <w:lvl w:ilvl="0" w:tplc="9BAE0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87"/>
    <w:rsid w:val="00126717"/>
    <w:rsid w:val="001435B5"/>
    <w:rsid w:val="00313418"/>
    <w:rsid w:val="003D607B"/>
    <w:rsid w:val="005011D4"/>
    <w:rsid w:val="00544C9F"/>
    <w:rsid w:val="00687950"/>
    <w:rsid w:val="0070460B"/>
    <w:rsid w:val="00797287"/>
    <w:rsid w:val="009C5778"/>
    <w:rsid w:val="00A10100"/>
    <w:rsid w:val="00A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425F"/>
  <w15:chartTrackingRefBased/>
  <w15:docId w15:val="{52B382EA-3397-4005-9ACE-A98AA7C6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2020-11-11T12:31:00Z</dcterms:created>
  <dcterms:modified xsi:type="dcterms:W3CDTF">2020-11-11T14:01:00Z</dcterms:modified>
</cp:coreProperties>
</file>