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36" w:rsidRPr="00C96C1C" w:rsidRDefault="007E0036" w:rsidP="00634E29">
      <w:pPr>
        <w:spacing w:line="240" w:lineRule="auto"/>
        <w:jc w:val="both"/>
        <w:rPr>
          <w:rFonts w:ascii="Times New Roman" w:hAnsi="Times New Roman" w:cs="Times New Roman"/>
          <w:b/>
        </w:rPr>
      </w:pPr>
    </w:p>
    <w:p w:rsidR="007E0036" w:rsidRDefault="00C96C1C" w:rsidP="00634E29">
      <w:pPr>
        <w:spacing w:line="240" w:lineRule="auto"/>
        <w:jc w:val="center"/>
        <w:rPr>
          <w:rFonts w:ascii="Times New Roman" w:hAnsi="Times New Roman" w:cs="Times New Roman"/>
          <w:b/>
        </w:rPr>
      </w:pPr>
      <w:r>
        <w:rPr>
          <w:rFonts w:ascii="Times New Roman" w:hAnsi="Times New Roman" w:cs="Times New Roman"/>
          <w:b/>
        </w:rPr>
        <w:t>Динамика темпов роста вершин оврагов</w:t>
      </w:r>
      <w:r w:rsidR="007E0036" w:rsidRPr="00C96C1C">
        <w:rPr>
          <w:rFonts w:ascii="Times New Roman" w:hAnsi="Times New Roman" w:cs="Times New Roman"/>
          <w:b/>
        </w:rPr>
        <w:t xml:space="preserve"> в Удмуртской Республике с середины XX века</w:t>
      </w:r>
    </w:p>
    <w:p w:rsidR="00634E29" w:rsidRDefault="00634E29" w:rsidP="00634E29">
      <w:pPr>
        <w:spacing w:after="0" w:line="240" w:lineRule="auto"/>
        <w:jc w:val="center"/>
        <w:rPr>
          <w:rFonts w:ascii="Times New Roman" w:hAnsi="Times New Roman" w:cs="Times New Roman"/>
          <w:b/>
          <w:bCs/>
          <w:i/>
          <w:iCs/>
        </w:rPr>
      </w:pPr>
      <w:r>
        <w:rPr>
          <w:rFonts w:ascii="Times New Roman" w:hAnsi="Times New Roman" w:cs="Times New Roman"/>
          <w:b/>
          <w:bCs/>
          <w:i/>
          <w:iCs/>
        </w:rPr>
        <w:t>Зайцева Марина Ивановна</w:t>
      </w:r>
    </w:p>
    <w:p w:rsidR="00634E29" w:rsidRDefault="00634E29" w:rsidP="00634E29">
      <w:pPr>
        <w:spacing w:after="0" w:line="240" w:lineRule="auto"/>
        <w:jc w:val="center"/>
        <w:rPr>
          <w:rFonts w:ascii="Times New Roman" w:hAnsi="Times New Roman" w:cs="Times New Roman"/>
          <w:b/>
          <w:bCs/>
          <w:i/>
          <w:iCs/>
        </w:rPr>
      </w:pPr>
      <w:r w:rsidRPr="00C96C1C">
        <w:rPr>
          <w:rFonts w:ascii="Times New Roman" w:hAnsi="Times New Roman" w:cs="Times New Roman"/>
          <w:b/>
          <w:bCs/>
          <w:i/>
          <w:iCs/>
        </w:rPr>
        <w:t>Удмуртский государственный университет</w:t>
      </w:r>
      <w:r>
        <w:rPr>
          <w:rFonts w:ascii="Times New Roman" w:hAnsi="Times New Roman" w:cs="Times New Roman"/>
          <w:b/>
          <w:bCs/>
          <w:i/>
          <w:iCs/>
        </w:rPr>
        <w:t xml:space="preserve">, </w:t>
      </w:r>
    </w:p>
    <w:p w:rsidR="00634E29" w:rsidRDefault="00634E29" w:rsidP="00634E29">
      <w:pPr>
        <w:spacing w:after="0" w:line="240" w:lineRule="auto"/>
        <w:jc w:val="center"/>
        <w:rPr>
          <w:rFonts w:ascii="Times New Roman" w:hAnsi="Times New Roman" w:cs="Times New Roman"/>
          <w:b/>
          <w:bCs/>
          <w:i/>
          <w:iCs/>
        </w:rPr>
      </w:pPr>
      <w:r>
        <w:rPr>
          <w:rFonts w:ascii="Times New Roman" w:hAnsi="Times New Roman" w:cs="Times New Roman"/>
          <w:b/>
          <w:bCs/>
          <w:i/>
          <w:iCs/>
        </w:rPr>
        <w:t>Институт естественных наук, Ижевск, Россия</w:t>
      </w:r>
    </w:p>
    <w:p w:rsidR="00634E29" w:rsidRPr="00C96C1C" w:rsidRDefault="00634E29" w:rsidP="00634E29">
      <w:pPr>
        <w:spacing w:after="0" w:line="240" w:lineRule="auto"/>
        <w:jc w:val="center"/>
        <w:rPr>
          <w:rFonts w:ascii="Times New Roman" w:hAnsi="Times New Roman" w:cs="Times New Roman"/>
          <w:b/>
          <w:bCs/>
          <w:i/>
          <w:iCs/>
        </w:rPr>
      </w:pPr>
      <w:proofErr w:type="gramStart"/>
      <w:r w:rsidRPr="00C96C1C">
        <w:rPr>
          <w:rFonts w:ascii="Times New Roman" w:hAnsi="Times New Roman" w:cs="Times New Roman"/>
          <w:b/>
          <w:bCs/>
          <w:i/>
          <w:iCs/>
          <w:lang w:val="en-US"/>
        </w:rPr>
        <w:t>e</w:t>
      </w:r>
      <w:r w:rsidRPr="00C96C1C">
        <w:rPr>
          <w:rFonts w:ascii="Times New Roman" w:hAnsi="Times New Roman" w:cs="Times New Roman"/>
          <w:b/>
          <w:bCs/>
          <w:i/>
          <w:iCs/>
        </w:rPr>
        <w:t>-</w:t>
      </w:r>
      <w:r w:rsidRPr="00C96C1C">
        <w:rPr>
          <w:rFonts w:ascii="Times New Roman" w:hAnsi="Times New Roman" w:cs="Times New Roman"/>
          <w:b/>
          <w:bCs/>
          <w:i/>
          <w:iCs/>
          <w:lang w:val="en-US"/>
        </w:rPr>
        <w:t>mail</w:t>
      </w:r>
      <w:proofErr w:type="gramEnd"/>
      <w:r w:rsidRPr="00C96C1C">
        <w:rPr>
          <w:rFonts w:ascii="Times New Roman" w:hAnsi="Times New Roman" w:cs="Times New Roman"/>
          <w:b/>
          <w:bCs/>
          <w:i/>
          <w:iCs/>
        </w:rPr>
        <w:t xml:space="preserve">: </w:t>
      </w:r>
      <w:proofErr w:type="spellStart"/>
      <w:r w:rsidRPr="00C96C1C">
        <w:rPr>
          <w:rFonts w:ascii="Times New Roman" w:hAnsi="Times New Roman" w:cs="Times New Roman"/>
          <w:b/>
          <w:bCs/>
          <w:i/>
          <w:iCs/>
          <w:lang w:val="en-US"/>
        </w:rPr>
        <w:t>luckylive</w:t>
      </w:r>
      <w:proofErr w:type="spellEnd"/>
      <w:r w:rsidRPr="00C96C1C">
        <w:rPr>
          <w:rFonts w:ascii="Times New Roman" w:hAnsi="Times New Roman" w:cs="Times New Roman"/>
          <w:b/>
          <w:bCs/>
          <w:i/>
          <w:iCs/>
        </w:rPr>
        <w:t>@</w:t>
      </w:r>
      <w:r w:rsidRPr="00C96C1C">
        <w:rPr>
          <w:rFonts w:ascii="Times New Roman" w:hAnsi="Times New Roman" w:cs="Times New Roman"/>
          <w:b/>
          <w:bCs/>
          <w:i/>
          <w:iCs/>
          <w:lang w:val="en-US"/>
        </w:rPr>
        <w:t>mail</w:t>
      </w:r>
      <w:r w:rsidRPr="00C96C1C">
        <w:rPr>
          <w:rFonts w:ascii="Times New Roman" w:hAnsi="Times New Roman" w:cs="Times New Roman"/>
          <w:b/>
          <w:bCs/>
          <w:i/>
          <w:iCs/>
        </w:rPr>
        <w:t>.</w:t>
      </w:r>
      <w:proofErr w:type="spellStart"/>
      <w:r w:rsidRPr="00C96C1C">
        <w:rPr>
          <w:rFonts w:ascii="Times New Roman" w:hAnsi="Times New Roman" w:cs="Times New Roman"/>
          <w:b/>
          <w:bCs/>
          <w:i/>
          <w:iCs/>
          <w:lang w:val="en-US"/>
        </w:rPr>
        <w:t>ru</w:t>
      </w:r>
      <w:proofErr w:type="spellEnd"/>
    </w:p>
    <w:p w:rsidR="00634E29" w:rsidRPr="00C96C1C" w:rsidRDefault="00634E29" w:rsidP="00634E29">
      <w:pPr>
        <w:spacing w:line="240" w:lineRule="auto"/>
        <w:rPr>
          <w:rFonts w:ascii="Times New Roman" w:hAnsi="Times New Roman" w:cs="Times New Roman"/>
          <w:b/>
        </w:rPr>
      </w:pPr>
    </w:p>
    <w:p w:rsidR="007E0036" w:rsidRPr="00C96C1C" w:rsidRDefault="007E0036" w:rsidP="00634E29">
      <w:pPr>
        <w:spacing w:line="240" w:lineRule="auto"/>
        <w:jc w:val="both"/>
        <w:rPr>
          <w:rFonts w:ascii="Times New Roman" w:hAnsi="Times New Roman" w:cs="Times New Roman"/>
        </w:rPr>
      </w:pPr>
      <w:r w:rsidRPr="00C96C1C">
        <w:rPr>
          <w:rFonts w:ascii="Times New Roman" w:hAnsi="Times New Roman" w:cs="Times New Roman"/>
          <w:b/>
        </w:rPr>
        <w:t xml:space="preserve">Аннотация: </w:t>
      </w:r>
      <w:r w:rsidRPr="00C96C1C">
        <w:rPr>
          <w:rFonts w:ascii="Times New Roman" w:hAnsi="Times New Roman" w:cs="Times New Roman"/>
        </w:rPr>
        <w:t>представлены результаты многолетних исследований овражной эрозии на территории Удмуртской Республики. Результаты многолетнего мониторинга сельскохозяйственных оврагов позволяют оценить временную динамику темпов роста вершин оврагов за 41 год. Период мониторинга разделен на два временных интервала: 1978-</w:t>
      </w:r>
      <w:r w:rsidR="002D433D">
        <w:rPr>
          <w:rFonts w:ascii="Times New Roman" w:hAnsi="Times New Roman" w:cs="Times New Roman"/>
        </w:rPr>
        <w:t>1997 и 1998-2018 годы. С</w:t>
      </w:r>
      <w:r w:rsidRPr="00C96C1C">
        <w:rPr>
          <w:rFonts w:ascii="Times New Roman" w:hAnsi="Times New Roman" w:cs="Times New Roman"/>
        </w:rPr>
        <w:t xml:space="preserve"> 2003 года скорости роста оврагов снижаются до минимальных значений. Информация о приросте овражных вершин за периоды 1959-1997 и 1970-1980 годов была получена из аэрофотоснимков. Установлено, что основной причиной серьезного сокращения скорости роста оврагов с 1998 года является повышение зимних температур воздуха вследствие глобального потепления климата.</w:t>
      </w:r>
    </w:p>
    <w:p w:rsidR="007E0036" w:rsidRPr="00C96C1C" w:rsidRDefault="007E0036" w:rsidP="00634E29">
      <w:pPr>
        <w:spacing w:line="240" w:lineRule="auto"/>
        <w:jc w:val="both"/>
        <w:rPr>
          <w:rFonts w:ascii="Times New Roman" w:hAnsi="Times New Roman" w:cs="Times New Roman"/>
          <w:i/>
        </w:rPr>
      </w:pPr>
      <w:r w:rsidRPr="00C96C1C">
        <w:rPr>
          <w:rFonts w:ascii="Times New Roman" w:hAnsi="Times New Roman" w:cs="Times New Roman"/>
          <w:b/>
          <w:i/>
        </w:rPr>
        <w:t xml:space="preserve">Ключевые слова: </w:t>
      </w:r>
      <w:r w:rsidRPr="00C96C1C">
        <w:rPr>
          <w:rFonts w:ascii="Times New Roman" w:hAnsi="Times New Roman" w:cs="Times New Roman"/>
          <w:i/>
        </w:rPr>
        <w:t xml:space="preserve">овражная эрозия, мониторинг, </w:t>
      </w:r>
      <w:r w:rsidR="00CA7BA4">
        <w:rPr>
          <w:rFonts w:ascii="Times New Roman" w:hAnsi="Times New Roman" w:cs="Times New Roman"/>
          <w:i/>
        </w:rPr>
        <w:t>тренд</w:t>
      </w:r>
      <w:r w:rsidRPr="00C96C1C">
        <w:rPr>
          <w:rFonts w:ascii="Times New Roman" w:hAnsi="Times New Roman" w:cs="Times New Roman"/>
          <w:i/>
        </w:rPr>
        <w:t>, Удмуртская Республика</w:t>
      </w:r>
    </w:p>
    <w:p w:rsidR="007B478C" w:rsidRPr="00C96C1C" w:rsidRDefault="00C71C29" w:rsidP="00634E29">
      <w:pPr>
        <w:spacing w:line="240" w:lineRule="auto"/>
        <w:jc w:val="both"/>
        <w:rPr>
          <w:rFonts w:ascii="Times New Roman" w:hAnsi="Times New Roman" w:cs="Times New Roman"/>
        </w:rPr>
      </w:pPr>
      <w:r w:rsidRPr="00C96C1C">
        <w:rPr>
          <w:rFonts w:ascii="Times New Roman" w:hAnsi="Times New Roman" w:cs="Times New Roman"/>
        </w:rPr>
        <w:t>Овражная эрозия является важным процессом деградации почв в южной половине Русской равнины из-за высок</w:t>
      </w:r>
      <w:r w:rsidR="00081F7A">
        <w:rPr>
          <w:rFonts w:ascii="Times New Roman" w:hAnsi="Times New Roman" w:cs="Times New Roman"/>
        </w:rPr>
        <w:t xml:space="preserve">ой доли обрабатываемых земель (более </w:t>
      </w:r>
      <w:r w:rsidRPr="00C96C1C">
        <w:rPr>
          <w:rFonts w:ascii="Times New Roman" w:hAnsi="Times New Roman" w:cs="Times New Roman"/>
        </w:rPr>
        <w:t xml:space="preserve">30% от общей площади). </w:t>
      </w:r>
      <w:r w:rsidR="00CA7BA4">
        <w:rPr>
          <w:rFonts w:ascii="Times New Roman" w:hAnsi="Times New Roman" w:cs="Times New Roman"/>
        </w:rPr>
        <w:t xml:space="preserve">Удмуртская Республика </w:t>
      </w:r>
      <w:r w:rsidR="007E0036" w:rsidRPr="00C96C1C">
        <w:rPr>
          <w:rFonts w:ascii="Times New Roman" w:hAnsi="Times New Roman" w:cs="Times New Roman"/>
        </w:rPr>
        <w:t xml:space="preserve"> </w:t>
      </w:r>
      <w:r w:rsidRPr="00C96C1C">
        <w:rPr>
          <w:rFonts w:ascii="Times New Roman" w:hAnsi="Times New Roman" w:cs="Times New Roman"/>
        </w:rPr>
        <w:t>расположен</w:t>
      </w:r>
      <w:r w:rsidR="007E0036" w:rsidRPr="00C96C1C">
        <w:rPr>
          <w:rFonts w:ascii="Times New Roman" w:hAnsi="Times New Roman" w:cs="Times New Roman"/>
        </w:rPr>
        <w:t>а</w:t>
      </w:r>
      <w:r w:rsidRPr="00C96C1C">
        <w:rPr>
          <w:rFonts w:ascii="Times New Roman" w:hAnsi="Times New Roman" w:cs="Times New Roman"/>
        </w:rPr>
        <w:t xml:space="preserve"> в пределах Северо-Восточной части бассейна р</w:t>
      </w:r>
      <w:r w:rsidR="007E0036" w:rsidRPr="00C96C1C">
        <w:rPr>
          <w:rFonts w:ascii="Times New Roman" w:hAnsi="Times New Roman" w:cs="Times New Roman"/>
        </w:rPr>
        <w:t xml:space="preserve">еки Волги </w:t>
      </w:r>
      <w:r w:rsidRPr="00C96C1C">
        <w:rPr>
          <w:rFonts w:ascii="Times New Roman" w:hAnsi="Times New Roman" w:cs="Times New Roman"/>
        </w:rPr>
        <w:t>(56 ° северной широт</w:t>
      </w:r>
      <w:r w:rsidR="007E0036" w:rsidRPr="00C96C1C">
        <w:rPr>
          <w:rFonts w:ascii="Times New Roman" w:hAnsi="Times New Roman" w:cs="Times New Roman"/>
        </w:rPr>
        <w:t>ы; 52°</w:t>
      </w:r>
      <w:r w:rsidR="00081F7A">
        <w:rPr>
          <w:rFonts w:ascii="Times New Roman" w:hAnsi="Times New Roman" w:cs="Times New Roman"/>
        </w:rPr>
        <w:t xml:space="preserve"> </w:t>
      </w:r>
      <w:r w:rsidR="007E0036" w:rsidRPr="00C96C1C">
        <w:rPr>
          <w:rFonts w:ascii="Times New Roman" w:hAnsi="Times New Roman" w:cs="Times New Roman"/>
        </w:rPr>
        <w:t>восточной долготы)</w:t>
      </w:r>
      <w:r w:rsidRPr="00C96C1C">
        <w:rPr>
          <w:rFonts w:ascii="Times New Roman" w:hAnsi="Times New Roman" w:cs="Times New Roman"/>
        </w:rPr>
        <w:t>. Территория характеризуется умеренно-континентальным климатом с годовыми осадками в диапазоне 550-600</w:t>
      </w:r>
      <w:r w:rsidR="00CA7BA4">
        <w:rPr>
          <w:rFonts w:ascii="Times New Roman" w:hAnsi="Times New Roman" w:cs="Times New Roman"/>
        </w:rPr>
        <w:t xml:space="preserve"> </w:t>
      </w:r>
      <w:r w:rsidRPr="00C96C1C">
        <w:rPr>
          <w:rFonts w:ascii="Times New Roman" w:hAnsi="Times New Roman" w:cs="Times New Roman"/>
        </w:rPr>
        <w:t>мм, среднегодовой температу</w:t>
      </w:r>
      <w:r w:rsidR="00081F7A">
        <w:rPr>
          <w:rFonts w:ascii="Times New Roman" w:hAnsi="Times New Roman" w:cs="Times New Roman"/>
        </w:rPr>
        <w:t>рой января и июля -12,3° и +19</w:t>
      </w:r>
      <w:proofErr w:type="gramStart"/>
      <w:r w:rsidR="00081F7A">
        <w:rPr>
          <w:rFonts w:ascii="Times New Roman" w:hAnsi="Times New Roman" w:cs="Times New Roman"/>
        </w:rPr>
        <w:t xml:space="preserve">° </w:t>
      </w:r>
      <w:r w:rsidRPr="00C96C1C">
        <w:rPr>
          <w:rFonts w:ascii="Times New Roman" w:hAnsi="Times New Roman" w:cs="Times New Roman"/>
        </w:rPr>
        <w:t>С</w:t>
      </w:r>
      <w:proofErr w:type="gramEnd"/>
      <w:r w:rsidRPr="00C96C1C">
        <w:rPr>
          <w:rFonts w:ascii="Times New Roman" w:hAnsi="Times New Roman" w:cs="Times New Roman"/>
        </w:rPr>
        <w:t xml:space="preserve"> соответственно. Абсолютные высоты исследуемого участка находятся в пределах 120-250 м над уровнем моря с максимальными относительными высотами вдоль речных долин.</w:t>
      </w:r>
    </w:p>
    <w:p w:rsidR="00C71C29" w:rsidRPr="00C96C1C" w:rsidRDefault="00C71C29" w:rsidP="00634E29">
      <w:pPr>
        <w:spacing w:line="240" w:lineRule="auto"/>
        <w:jc w:val="both"/>
        <w:rPr>
          <w:rFonts w:ascii="Times New Roman" w:hAnsi="Times New Roman" w:cs="Times New Roman"/>
        </w:rPr>
      </w:pPr>
      <w:r w:rsidRPr="00C96C1C">
        <w:rPr>
          <w:rFonts w:ascii="Times New Roman" w:hAnsi="Times New Roman" w:cs="Times New Roman"/>
        </w:rPr>
        <w:t xml:space="preserve">Для оценки темпов </w:t>
      </w:r>
      <w:r w:rsidR="00A933F6" w:rsidRPr="00C96C1C">
        <w:rPr>
          <w:rFonts w:ascii="Times New Roman" w:hAnsi="Times New Roman" w:cs="Times New Roman"/>
        </w:rPr>
        <w:t>роста</w:t>
      </w:r>
      <w:r w:rsidRPr="00C96C1C">
        <w:rPr>
          <w:rFonts w:ascii="Times New Roman" w:hAnsi="Times New Roman" w:cs="Times New Roman"/>
        </w:rPr>
        <w:t xml:space="preserve"> вершин оврагов использовались два подхода. Аэрофотоснимки высокого разрешения (полеты 1959, 1970 и 1980 гг.) были использованы для оценки среднегодового </w:t>
      </w:r>
      <w:r w:rsidR="00A933F6" w:rsidRPr="00C96C1C">
        <w:rPr>
          <w:rFonts w:ascii="Times New Roman" w:hAnsi="Times New Roman" w:cs="Times New Roman"/>
        </w:rPr>
        <w:t>роста</w:t>
      </w:r>
      <w:r w:rsidRPr="00C96C1C">
        <w:rPr>
          <w:rFonts w:ascii="Times New Roman" w:hAnsi="Times New Roman" w:cs="Times New Roman"/>
        </w:rPr>
        <w:t xml:space="preserve"> овражных вершин за периоды 1959-1970 и 1970-1980 гг. Полевой мониторинг 168 овражных вершин, расположенных на 28 </w:t>
      </w:r>
      <w:r w:rsidR="00A933F6" w:rsidRPr="00C96C1C">
        <w:rPr>
          <w:rFonts w:ascii="Times New Roman" w:hAnsi="Times New Roman" w:cs="Times New Roman"/>
        </w:rPr>
        <w:t xml:space="preserve">ключевых </w:t>
      </w:r>
      <w:r w:rsidRPr="00C96C1C">
        <w:rPr>
          <w:rFonts w:ascii="Times New Roman" w:hAnsi="Times New Roman" w:cs="Times New Roman"/>
        </w:rPr>
        <w:t>участках в разных частях исследуемой территории, был организован с 1978 года и</w:t>
      </w:r>
      <w:r w:rsidR="00C96C1C">
        <w:rPr>
          <w:rFonts w:ascii="Times New Roman" w:hAnsi="Times New Roman" w:cs="Times New Roman"/>
        </w:rPr>
        <w:t xml:space="preserve"> продолжается до сих пор</w:t>
      </w:r>
      <w:r w:rsidR="002816C4">
        <w:rPr>
          <w:rFonts w:ascii="Times New Roman" w:hAnsi="Times New Roman" w:cs="Times New Roman"/>
        </w:rPr>
        <w:t xml:space="preserve"> </w:t>
      </w:r>
      <w:r w:rsidR="002816C4" w:rsidRPr="002816C4">
        <w:rPr>
          <w:rFonts w:ascii="Times New Roman" w:hAnsi="Times New Roman" w:cs="Times New Roman"/>
          <w:color w:val="000000"/>
        </w:rPr>
        <w:t>[1]</w:t>
      </w:r>
      <w:r w:rsidRPr="002816C4">
        <w:rPr>
          <w:rFonts w:ascii="Times New Roman" w:hAnsi="Times New Roman" w:cs="Times New Roman"/>
        </w:rPr>
        <w:t>.</w:t>
      </w:r>
      <w:r w:rsidRPr="00C96C1C">
        <w:rPr>
          <w:rFonts w:ascii="Times New Roman" w:hAnsi="Times New Roman" w:cs="Times New Roman"/>
        </w:rPr>
        <w:t xml:space="preserve"> Количество вершин оврагов, находящихся под наблюдением, менялось в связи со стабилизацией некоторых оврагов и включением в мониторинг новых активных оврагов. В систему мониторинга были включены различные типы оврагов, включая склоновые, береговые и донные овраги с преимущественно </w:t>
      </w:r>
      <w:r w:rsidR="00A933F6" w:rsidRPr="00C96C1C">
        <w:rPr>
          <w:rFonts w:ascii="Times New Roman" w:hAnsi="Times New Roman" w:cs="Times New Roman"/>
        </w:rPr>
        <w:t>распахиваем</w:t>
      </w:r>
      <w:r w:rsidRPr="00C96C1C">
        <w:rPr>
          <w:rFonts w:ascii="Times New Roman" w:hAnsi="Times New Roman" w:cs="Times New Roman"/>
        </w:rPr>
        <w:t xml:space="preserve">ыми водосборами. Замеры </w:t>
      </w:r>
      <w:r w:rsidR="00A933F6" w:rsidRPr="00C96C1C">
        <w:rPr>
          <w:rFonts w:ascii="Times New Roman" w:hAnsi="Times New Roman" w:cs="Times New Roman"/>
        </w:rPr>
        <w:t>прироста</w:t>
      </w:r>
      <w:r w:rsidRPr="00C96C1C">
        <w:rPr>
          <w:rFonts w:ascii="Times New Roman" w:hAnsi="Times New Roman" w:cs="Times New Roman"/>
        </w:rPr>
        <w:t xml:space="preserve"> вершин оврагов производятся один раз в год на большей части участков. Но </w:t>
      </w:r>
      <w:r w:rsidR="00EC0CB5" w:rsidRPr="00C96C1C">
        <w:rPr>
          <w:rFonts w:ascii="Times New Roman" w:hAnsi="Times New Roman" w:cs="Times New Roman"/>
        </w:rPr>
        <w:t>рост</w:t>
      </w:r>
      <w:r w:rsidRPr="00C96C1C">
        <w:rPr>
          <w:rFonts w:ascii="Times New Roman" w:hAnsi="Times New Roman" w:cs="Times New Roman"/>
        </w:rPr>
        <w:t xml:space="preserve"> 34-40 овражных вершин, расположенных в восточной части исследуемой территории с высокой долей пахотных земель, измеряется дважды в год (после таяния снега в мае и после сезона </w:t>
      </w:r>
      <w:r w:rsidR="00EC0CB5" w:rsidRPr="00C96C1C">
        <w:rPr>
          <w:rFonts w:ascii="Times New Roman" w:hAnsi="Times New Roman" w:cs="Times New Roman"/>
        </w:rPr>
        <w:t xml:space="preserve">ливневых </w:t>
      </w:r>
      <w:r w:rsidRPr="00C96C1C">
        <w:rPr>
          <w:rFonts w:ascii="Times New Roman" w:hAnsi="Times New Roman" w:cs="Times New Roman"/>
        </w:rPr>
        <w:t>дождей в октябре-ноябре).</w:t>
      </w:r>
    </w:p>
    <w:p w:rsidR="00EC0CB5" w:rsidRPr="00C96C1C" w:rsidRDefault="00EC0CB5" w:rsidP="00634E29">
      <w:pPr>
        <w:spacing w:line="240" w:lineRule="auto"/>
        <w:jc w:val="both"/>
        <w:rPr>
          <w:rFonts w:ascii="Times New Roman" w:hAnsi="Times New Roman" w:cs="Times New Roman"/>
        </w:rPr>
      </w:pPr>
      <w:r w:rsidRPr="00C96C1C">
        <w:rPr>
          <w:rFonts w:ascii="Times New Roman" w:hAnsi="Times New Roman" w:cs="Times New Roman"/>
        </w:rPr>
        <w:t xml:space="preserve">Результаты многолетнего мониторинга сельскохозяйственных оврагов позволяют оценить временную динамику темпов </w:t>
      </w:r>
      <w:r w:rsidR="00A933F6" w:rsidRPr="00C96C1C">
        <w:rPr>
          <w:rFonts w:ascii="Times New Roman" w:hAnsi="Times New Roman" w:cs="Times New Roman"/>
        </w:rPr>
        <w:t>роста</w:t>
      </w:r>
      <w:r w:rsidR="00727D0A">
        <w:rPr>
          <w:rFonts w:ascii="Times New Roman" w:hAnsi="Times New Roman" w:cs="Times New Roman"/>
        </w:rPr>
        <w:t xml:space="preserve"> вершин оврагов</w:t>
      </w:r>
      <w:r w:rsidR="00C96C1C" w:rsidRPr="00C96C1C">
        <w:rPr>
          <w:rFonts w:ascii="Times New Roman" w:hAnsi="Times New Roman" w:cs="Times New Roman"/>
        </w:rPr>
        <w:t xml:space="preserve"> за 40</w:t>
      </w:r>
      <w:r w:rsidR="00C96C1C">
        <w:rPr>
          <w:rFonts w:ascii="Times New Roman" w:hAnsi="Times New Roman" w:cs="Times New Roman"/>
        </w:rPr>
        <w:t xml:space="preserve"> лет (Рис.1</w:t>
      </w:r>
      <w:r w:rsidRPr="00C96C1C">
        <w:rPr>
          <w:rFonts w:ascii="Times New Roman" w:hAnsi="Times New Roman" w:cs="Times New Roman"/>
        </w:rPr>
        <w:t xml:space="preserve">). Период мониторинга можно разделить на два временных </w:t>
      </w:r>
      <w:r w:rsidR="00C96C1C" w:rsidRPr="00C96C1C">
        <w:rPr>
          <w:rFonts w:ascii="Times New Roman" w:hAnsi="Times New Roman" w:cs="Times New Roman"/>
        </w:rPr>
        <w:t>интервала: 1978-1997 и 1998-2018</w:t>
      </w:r>
      <w:r w:rsidRPr="00C96C1C">
        <w:rPr>
          <w:rFonts w:ascii="Times New Roman" w:hAnsi="Times New Roman" w:cs="Times New Roman"/>
        </w:rPr>
        <w:t xml:space="preserve"> го</w:t>
      </w:r>
      <w:r w:rsidR="002D433D">
        <w:rPr>
          <w:rFonts w:ascii="Times New Roman" w:hAnsi="Times New Roman" w:cs="Times New Roman"/>
        </w:rPr>
        <w:t>ды. С</w:t>
      </w:r>
      <w:r w:rsidR="00727D0A">
        <w:rPr>
          <w:rFonts w:ascii="Times New Roman" w:hAnsi="Times New Roman" w:cs="Times New Roman"/>
        </w:rPr>
        <w:t xml:space="preserve"> 2003 года темп роста овражных вершин снижае</w:t>
      </w:r>
      <w:r w:rsidRPr="00C96C1C">
        <w:rPr>
          <w:rFonts w:ascii="Times New Roman" w:hAnsi="Times New Roman" w:cs="Times New Roman"/>
        </w:rPr>
        <w:t xml:space="preserve">тся до минимальных значений. Информация о </w:t>
      </w:r>
      <w:r w:rsidR="00A933F6" w:rsidRPr="00C96C1C">
        <w:rPr>
          <w:rFonts w:ascii="Times New Roman" w:hAnsi="Times New Roman" w:cs="Times New Roman"/>
        </w:rPr>
        <w:t>приросте</w:t>
      </w:r>
      <w:r w:rsidRPr="00C96C1C">
        <w:rPr>
          <w:rFonts w:ascii="Times New Roman" w:hAnsi="Times New Roman" w:cs="Times New Roman"/>
        </w:rPr>
        <w:t xml:space="preserve"> овражных вершин за периоды 1959-1997 и 1970-1980 годов была получена из аэрофотоснимков. Была определен</w:t>
      </w:r>
      <w:r w:rsidR="00727D0A">
        <w:rPr>
          <w:rFonts w:ascii="Times New Roman" w:hAnsi="Times New Roman" w:cs="Times New Roman"/>
        </w:rPr>
        <w:t>а четкая тенденция снижения темпов роста оврагов</w:t>
      </w:r>
      <w:r w:rsidR="00D178B8" w:rsidRPr="00C96C1C">
        <w:rPr>
          <w:rFonts w:ascii="Times New Roman" w:hAnsi="Times New Roman" w:cs="Times New Roman"/>
        </w:rPr>
        <w:t>.</w:t>
      </w:r>
    </w:p>
    <w:p w:rsidR="00D178B8" w:rsidRPr="00C96C1C" w:rsidRDefault="00D178B8" w:rsidP="00634E29">
      <w:pPr>
        <w:spacing w:line="240" w:lineRule="auto"/>
        <w:jc w:val="both"/>
        <w:rPr>
          <w:rFonts w:ascii="Times New Roman" w:hAnsi="Times New Roman" w:cs="Times New Roman"/>
        </w:rPr>
      </w:pPr>
      <w:r w:rsidRPr="00C96C1C">
        <w:rPr>
          <w:rFonts w:ascii="Times New Roman" w:hAnsi="Times New Roman" w:cs="Times New Roman"/>
        </w:rPr>
        <w:t>Основной причиной серьезного сокращения скорости роста оврагов с 1998 года является повышение зимних температур воздуха вследствие глобального потепления климата</w:t>
      </w:r>
      <w:r w:rsidR="002816C4">
        <w:rPr>
          <w:rFonts w:ascii="Times New Roman" w:hAnsi="Times New Roman" w:cs="Times New Roman"/>
        </w:rPr>
        <w:t xml:space="preserve"> </w:t>
      </w:r>
      <w:r w:rsidR="002816C4" w:rsidRPr="002816C4">
        <w:rPr>
          <w:rFonts w:ascii="Times New Roman" w:hAnsi="Times New Roman" w:cs="Times New Roman"/>
          <w:color w:val="000000"/>
        </w:rPr>
        <w:t>[2, 3]</w:t>
      </w:r>
      <w:r w:rsidRPr="00C96C1C">
        <w:rPr>
          <w:rFonts w:ascii="Times New Roman" w:hAnsi="Times New Roman" w:cs="Times New Roman"/>
        </w:rPr>
        <w:t>. В результате во время снеготаяния в годы с глубиной мерзлого грунта ниже 40-50 см произошло серьезное уменьшение поверхностного стока со склонов. Это подтверждается снижением роли снеготаяния в годовом приросте оврагов с 81% за период наблюдений 1978-199</w:t>
      </w:r>
      <w:r w:rsidR="00C96C1C" w:rsidRPr="00C96C1C">
        <w:rPr>
          <w:rFonts w:ascii="Times New Roman" w:hAnsi="Times New Roman" w:cs="Times New Roman"/>
        </w:rPr>
        <w:t>7 гг. до 53% за период 1998-2018</w:t>
      </w:r>
      <w:r w:rsidRPr="00C96C1C">
        <w:rPr>
          <w:rFonts w:ascii="Times New Roman" w:hAnsi="Times New Roman" w:cs="Times New Roman"/>
        </w:rPr>
        <w:t xml:space="preserve"> гг. с относительно высокой</w:t>
      </w:r>
      <w:r w:rsidR="00727D0A">
        <w:rPr>
          <w:rFonts w:ascii="Times New Roman" w:hAnsi="Times New Roman" w:cs="Times New Roman"/>
        </w:rPr>
        <w:t xml:space="preserve"> вариацией из года в год</w:t>
      </w:r>
      <w:r w:rsidRPr="00C96C1C">
        <w:rPr>
          <w:rFonts w:ascii="Times New Roman" w:hAnsi="Times New Roman" w:cs="Times New Roman"/>
        </w:rPr>
        <w:t>.</w:t>
      </w:r>
    </w:p>
    <w:p w:rsidR="00D178B8" w:rsidRPr="00C96C1C" w:rsidRDefault="00D178B8" w:rsidP="00634E29">
      <w:pPr>
        <w:spacing w:line="240" w:lineRule="auto"/>
        <w:jc w:val="both"/>
        <w:rPr>
          <w:rFonts w:ascii="Times New Roman" w:hAnsi="Times New Roman" w:cs="Times New Roman"/>
        </w:rPr>
      </w:pPr>
      <w:r w:rsidRPr="00C96C1C">
        <w:rPr>
          <w:rFonts w:ascii="Times New Roman" w:hAnsi="Times New Roman" w:cs="Times New Roman"/>
        </w:rPr>
        <w:t>Следует подчеркнуть, что в теплую часть года после интен</w:t>
      </w:r>
      <w:r w:rsidR="00727D0A">
        <w:rPr>
          <w:rFonts w:ascii="Times New Roman" w:hAnsi="Times New Roman" w:cs="Times New Roman"/>
        </w:rPr>
        <w:t xml:space="preserve">сивных ливней со слоем осадков  более </w:t>
      </w:r>
      <w:r w:rsidRPr="00C96C1C">
        <w:rPr>
          <w:rFonts w:ascii="Times New Roman" w:hAnsi="Times New Roman" w:cs="Times New Roman"/>
        </w:rPr>
        <w:t>40 мм наблюдается значительны</w:t>
      </w:r>
      <w:r w:rsidR="00727D0A">
        <w:rPr>
          <w:rFonts w:ascii="Times New Roman" w:hAnsi="Times New Roman" w:cs="Times New Roman"/>
        </w:rPr>
        <w:t>й прирост вершин оврагов</w:t>
      </w:r>
      <w:r w:rsidRPr="00C96C1C">
        <w:rPr>
          <w:rFonts w:ascii="Times New Roman" w:hAnsi="Times New Roman" w:cs="Times New Roman"/>
        </w:rPr>
        <w:t>.</w:t>
      </w:r>
    </w:p>
    <w:p w:rsidR="00C96C1C" w:rsidRPr="002D433D" w:rsidRDefault="00D178B8" w:rsidP="00634E29">
      <w:pPr>
        <w:spacing w:line="240" w:lineRule="auto"/>
        <w:jc w:val="both"/>
        <w:rPr>
          <w:rFonts w:ascii="Times New Roman" w:hAnsi="Times New Roman" w:cs="Times New Roman"/>
        </w:rPr>
      </w:pPr>
      <w:r w:rsidRPr="00C96C1C">
        <w:rPr>
          <w:rFonts w:ascii="Times New Roman" w:hAnsi="Times New Roman" w:cs="Times New Roman"/>
        </w:rPr>
        <w:lastRenderedPageBreak/>
        <w:t>Литологиче</w:t>
      </w:r>
      <w:r w:rsidR="00727D0A">
        <w:rPr>
          <w:rFonts w:ascii="Times New Roman" w:hAnsi="Times New Roman" w:cs="Times New Roman"/>
        </w:rPr>
        <w:t>ский фактор также влияет на темпы роста овражных вершин</w:t>
      </w:r>
      <w:r w:rsidRPr="00C96C1C">
        <w:rPr>
          <w:rFonts w:ascii="Times New Roman" w:hAnsi="Times New Roman" w:cs="Times New Roman"/>
        </w:rPr>
        <w:t>. Максимальная скорость овражной эрозии наблюдается в районах распространения делювиально-солифлюкционных пл</w:t>
      </w:r>
      <w:r w:rsidR="00727D0A">
        <w:rPr>
          <w:rFonts w:ascii="Times New Roman" w:hAnsi="Times New Roman" w:cs="Times New Roman"/>
        </w:rPr>
        <w:t>ейстоценовых суглинков.</w:t>
      </w:r>
    </w:p>
    <w:p w:rsidR="00C96C1C" w:rsidRPr="00CA7BA4" w:rsidRDefault="00C96C1C" w:rsidP="00634E29">
      <w:pPr>
        <w:spacing w:line="240" w:lineRule="auto"/>
        <w:jc w:val="both"/>
      </w:pPr>
      <w:r>
        <w:rPr>
          <w:noProof/>
          <w:lang w:eastAsia="ru-RU"/>
        </w:rPr>
        <w:drawing>
          <wp:inline distT="0" distB="0" distL="0" distR="0">
            <wp:extent cx="5592322" cy="3148535"/>
            <wp:effectExtent l="19050" t="0" r="27428"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CA7BA4">
        <w:t xml:space="preserve"> </w:t>
      </w:r>
      <w:r w:rsidR="00CA7BA4">
        <w:t xml:space="preserve"> Рис</w:t>
      </w:r>
      <w:r w:rsidR="00CA7BA4" w:rsidRPr="00CA7BA4">
        <w:t>.</w:t>
      </w:r>
      <w:r w:rsidR="00CA7BA4">
        <w:t xml:space="preserve"> </w:t>
      </w:r>
      <w:r w:rsidR="00CA7BA4" w:rsidRPr="00CA7BA4">
        <w:t>1.</w:t>
      </w:r>
      <w:r w:rsidR="00CA7BA4">
        <w:t xml:space="preserve"> Среднемноголетние скорости прироста оврагов в УР</w:t>
      </w:r>
      <w:r w:rsidRPr="00CA7BA4">
        <w:t>:</w:t>
      </w:r>
    </w:p>
    <w:p w:rsidR="00CA7BA4" w:rsidRPr="00CA7BA4" w:rsidRDefault="00C96C1C" w:rsidP="00634E29">
      <w:pPr>
        <w:spacing w:line="240" w:lineRule="auto"/>
        <w:jc w:val="both"/>
      </w:pPr>
      <w:r w:rsidRPr="00CA7BA4">
        <w:t xml:space="preserve">1 - </w:t>
      </w:r>
      <w:r w:rsidR="00CA7BA4" w:rsidRPr="00CA7BA4">
        <w:t>все овраги, находящиеся под наблюдением за период 1978-2017 гг.;</w:t>
      </w:r>
    </w:p>
    <w:p w:rsidR="00C96C1C" w:rsidRPr="00CA7BA4" w:rsidRDefault="00CA7BA4" w:rsidP="00634E29">
      <w:pPr>
        <w:spacing w:line="240" w:lineRule="auto"/>
        <w:jc w:val="both"/>
      </w:pPr>
      <w:r w:rsidRPr="00CA7BA4">
        <w:t>2</w:t>
      </w:r>
      <w:r>
        <w:t xml:space="preserve"> - </w:t>
      </w:r>
      <w:r w:rsidRPr="00CA7BA4">
        <w:t xml:space="preserve">средние темпы </w:t>
      </w:r>
      <w:r>
        <w:t>роста оврагов за 5-летний период</w:t>
      </w:r>
    </w:p>
    <w:p w:rsidR="00C96C1C" w:rsidRPr="00CA7BA4" w:rsidRDefault="00C96C1C" w:rsidP="00634E29">
      <w:pPr>
        <w:spacing w:line="240" w:lineRule="auto"/>
        <w:jc w:val="both"/>
        <w:rPr>
          <w:rFonts w:ascii="Times New Roman" w:hAnsi="Times New Roman" w:cs="Times New Roman"/>
        </w:rPr>
      </w:pPr>
    </w:p>
    <w:p w:rsidR="00187ECA" w:rsidRPr="00C96C1C" w:rsidRDefault="00D178B8" w:rsidP="00634E29">
      <w:pPr>
        <w:spacing w:line="240" w:lineRule="auto"/>
        <w:jc w:val="both"/>
        <w:rPr>
          <w:rFonts w:ascii="Times New Roman" w:hAnsi="Times New Roman" w:cs="Times New Roman"/>
        </w:rPr>
      </w:pPr>
      <w:r w:rsidRPr="00C96C1C">
        <w:rPr>
          <w:rFonts w:ascii="Times New Roman" w:hAnsi="Times New Roman" w:cs="Times New Roman"/>
        </w:rPr>
        <w:t>Положительная динамика среднемноголетн</w:t>
      </w:r>
      <w:r w:rsidR="00187ECA" w:rsidRPr="00C96C1C">
        <w:rPr>
          <w:rFonts w:ascii="Times New Roman" w:hAnsi="Times New Roman" w:cs="Times New Roman"/>
        </w:rPr>
        <w:t>их</w:t>
      </w:r>
      <w:r w:rsidR="00C96C1C" w:rsidRPr="00C96C1C">
        <w:rPr>
          <w:rFonts w:ascii="Times New Roman" w:hAnsi="Times New Roman" w:cs="Times New Roman"/>
        </w:rPr>
        <w:t xml:space="preserve"> </w:t>
      </w:r>
      <w:r w:rsidR="00187ECA" w:rsidRPr="00C96C1C">
        <w:rPr>
          <w:rFonts w:ascii="Times New Roman" w:hAnsi="Times New Roman" w:cs="Times New Roman"/>
        </w:rPr>
        <w:t>скоростей прироста</w:t>
      </w:r>
      <w:r w:rsidRPr="00C96C1C">
        <w:rPr>
          <w:rFonts w:ascii="Times New Roman" w:hAnsi="Times New Roman" w:cs="Times New Roman"/>
        </w:rPr>
        <w:t xml:space="preserve">, наблюдаемая для донных </w:t>
      </w:r>
      <w:r w:rsidR="00187ECA" w:rsidRPr="00C96C1C">
        <w:rPr>
          <w:rFonts w:ascii="Times New Roman" w:hAnsi="Times New Roman" w:cs="Times New Roman"/>
        </w:rPr>
        <w:t>оврагов</w:t>
      </w:r>
      <w:r w:rsidR="00C96C1C" w:rsidRPr="00C96C1C">
        <w:rPr>
          <w:rFonts w:ascii="Times New Roman" w:hAnsi="Times New Roman" w:cs="Times New Roman"/>
        </w:rPr>
        <w:t xml:space="preserve"> в пределах Удмуртской Республики</w:t>
      </w:r>
      <w:r w:rsidRPr="00C96C1C">
        <w:rPr>
          <w:rFonts w:ascii="Times New Roman" w:hAnsi="Times New Roman" w:cs="Times New Roman"/>
        </w:rPr>
        <w:t xml:space="preserve"> после 2006 г., может быть </w:t>
      </w:r>
      <w:r w:rsidR="00187ECA" w:rsidRPr="00C96C1C">
        <w:rPr>
          <w:rFonts w:ascii="Times New Roman" w:hAnsi="Times New Roman" w:cs="Times New Roman"/>
        </w:rPr>
        <w:t>важным</w:t>
      </w:r>
      <w:r w:rsidRPr="00C96C1C">
        <w:rPr>
          <w:rFonts w:ascii="Times New Roman" w:hAnsi="Times New Roman" w:cs="Times New Roman"/>
        </w:rPr>
        <w:t xml:space="preserve"> показателем</w:t>
      </w:r>
      <w:r w:rsidR="00187ECA" w:rsidRPr="00C96C1C">
        <w:rPr>
          <w:rFonts w:ascii="Times New Roman" w:hAnsi="Times New Roman" w:cs="Times New Roman"/>
        </w:rPr>
        <w:t xml:space="preserve"> (индикатором)</w:t>
      </w:r>
      <w:r w:rsidRPr="00C96C1C">
        <w:rPr>
          <w:rFonts w:ascii="Times New Roman" w:hAnsi="Times New Roman" w:cs="Times New Roman"/>
        </w:rPr>
        <w:t xml:space="preserve"> некоторых изменений </w:t>
      </w:r>
      <w:r w:rsidR="00187ECA" w:rsidRPr="00C96C1C">
        <w:rPr>
          <w:rFonts w:ascii="Times New Roman" w:hAnsi="Times New Roman" w:cs="Times New Roman"/>
        </w:rPr>
        <w:t xml:space="preserve">в </w:t>
      </w:r>
      <w:r w:rsidRPr="00C96C1C">
        <w:rPr>
          <w:rFonts w:ascii="Times New Roman" w:hAnsi="Times New Roman" w:cs="Times New Roman"/>
        </w:rPr>
        <w:t>услови</w:t>
      </w:r>
      <w:r w:rsidR="00187ECA" w:rsidRPr="00C96C1C">
        <w:rPr>
          <w:rFonts w:ascii="Times New Roman" w:hAnsi="Times New Roman" w:cs="Times New Roman"/>
        </w:rPr>
        <w:t>ях</w:t>
      </w:r>
      <w:r w:rsidRPr="00C96C1C">
        <w:rPr>
          <w:rFonts w:ascii="Times New Roman" w:hAnsi="Times New Roman" w:cs="Times New Roman"/>
        </w:rPr>
        <w:t xml:space="preserve"> формирования поверхностного и подземного стока в пределах водосборов </w:t>
      </w:r>
      <w:r w:rsidR="00187ECA" w:rsidRPr="00C96C1C">
        <w:rPr>
          <w:rFonts w:ascii="Times New Roman" w:hAnsi="Times New Roman" w:cs="Times New Roman"/>
        </w:rPr>
        <w:t>донных оврагов</w:t>
      </w:r>
      <w:r w:rsidRPr="00C96C1C">
        <w:rPr>
          <w:rFonts w:ascii="Times New Roman" w:hAnsi="Times New Roman" w:cs="Times New Roman"/>
        </w:rPr>
        <w:t>.</w:t>
      </w:r>
    </w:p>
    <w:p w:rsidR="00187ECA" w:rsidRDefault="002D433D" w:rsidP="00634E29">
      <w:pPr>
        <w:spacing w:line="240" w:lineRule="auto"/>
        <w:jc w:val="both"/>
        <w:rPr>
          <w:rFonts w:ascii="Times New Roman" w:hAnsi="Times New Roman" w:cs="Times New Roman"/>
        </w:rPr>
      </w:pPr>
      <w:r>
        <w:rPr>
          <w:rFonts w:ascii="Times New Roman" w:hAnsi="Times New Roman" w:cs="Times New Roman"/>
        </w:rPr>
        <w:t xml:space="preserve">Таким образом, </w:t>
      </w:r>
      <w:r w:rsidR="00187ECA" w:rsidRPr="00C96C1C">
        <w:rPr>
          <w:rFonts w:ascii="Times New Roman" w:hAnsi="Times New Roman" w:cs="Times New Roman"/>
        </w:rPr>
        <w:t>на среднегодовые темпы снижения скоро</w:t>
      </w:r>
      <w:r w:rsidR="00C96C1C" w:rsidRPr="00C96C1C">
        <w:rPr>
          <w:rFonts w:ascii="Times New Roman" w:hAnsi="Times New Roman" w:cs="Times New Roman"/>
        </w:rPr>
        <w:t>сти роста оврагов с 1959 по 2018</w:t>
      </w:r>
      <w:r w:rsidR="00187ECA" w:rsidRPr="00C96C1C">
        <w:rPr>
          <w:rFonts w:ascii="Times New Roman" w:hAnsi="Times New Roman" w:cs="Times New Roman"/>
        </w:rPr>
        <w:t xml:space="preserve"> годы влияет несколько факторов, в том числе: изменение землепользования, уменьшение площади овражных водосборов и потепление климата. Однако</w:t>
      </w:r>
      <w:r>
        <w:rPr>
          <w:rFonts w:ascii="Times New Roman" w:hAnsi="Times New Roman" w:cs="Times New Roman"/>
        </w:rPr>
        <w:t xml:space="preserve"> </w:t>
      </w:r>
      <w:r w:rsidR="00187ECA" w:rsidRPr="00C96C1C">
        <w:rPr>
          <w:rFonts w:ascii="Times New Roman" w:hAnsi="Times New Roman" w:cs="Times New Roman"/>
        </w:rPr>
        <w:t>именно последний фактор привел к наиболее заметному снижению среднегодовых темпов роста оврагов после 1996 года.</w:t>
      </w:r>
    </w:p>
    <w:p w:rsidR="002D433D" w:rsidRDefault="002D433D" w:rsidP="00634E29">
      <w:pPr>
        <w:spacing w:line="240" w:lineRule="auto"/>
        <w:jc w:val="both"/>
        <w:rPr>
          <w:rFonts w:ascii="Times New Roman" w:hAnsi="Times New Roman" w:cs="Times New Roman"/>
        </w:rPr>
      </w:pPr>
    </w:p>
    <w:p w:rsidR="00081F7A" w:rsidRPr="00825033" w:rsidRDefault="00081F7A" w:rsidP="00634E29">
      <w:pPr>
        <w:autoSpaceDE w:val="0"/>
        <w:autoSpaceDN w:val="0"/>
        <w:adjustRightInd w:val="0"/>
        <w:spacing w:after="0" w:line="240" w:lineRule="auto"/>
        <w:jc w:val="both"/>
        <w:rPr>
          <w:rFonts w:ascii="Times New Roman" w:eastAsia="Times New Roman" w:hAnsi="Times New Roman" w:cs="Times New Roman"/>
          <w:b/>
          <w:lang w:eastAsia="ru-RU"/>
        </w:rPr>
      </w:pPr>
      <w:r w:rsidRPr="00825033">
        <w:rPr>
          <w:rFonts w:ascii="Times New Roman" w:eastAsia="Times New Roman" w:hAnsi="Times New Roman" w:cs="Times New Roman"/>
          <w:b/>
          <w:lang w:eastAsia="ru-RU"/>
        </w:rPr>
        <w:t>Список</w:t>
      </w:r>
      <w:r>
        <w:rPr>
          <w:rFonts w:ascii="Times New Roman" w:eastAsia="Times New Roman" w:hAnsi="Times New Roman" w:cs="Times New Roman"/>
          <w:b/>
          <w:lang w:eastAsia="ru-RU"/>
        </w:rPr>
        <w:t xml:space="preserve"> использованной</w:t>
      </w:r>
      <w:r w:rsidRPr="00825033">
        <w:rPr>
          <w:rFonts w:ascii="Times New Roman" w:eastAsia="Times New Roman" w:hAnsi="Times New Roman" w:cs="Times New Roman"/>
          <w:b/>
          <w:lang w:eastAsia="ru-RU"/>
        </w:rPr>
        <w:t xml:space="preserve"> литературы:</w:t>
      </w:r>
    </w:p>
    <w:p w:rsidR="00081F7A" w:rsidRPr="00825033" w:rsidRDefault="00081F7A" w:rsidP="00634E29">
      <w:pPr>
        <w:pStyle w:val="a7"/>
        <w:numPr>
          <w:ilvl w:val="0"/>
          <w:numId w:val="1"/>
        </w:numPr>
        <w:tabs>
          <w:tab w:val="clear" w:pos="907"/>
          <w:tab w:val="num" w:pos="567"/>
        </w:tabs>
        <w:spacing w:after="0" w:line="240" w:lineRule="auto"/>
        <w:ind w:left="0" w:firstLine="0"/>
        <w:jc w:val="both"/>
        <w:outlineLvl w:val="0"/>
        <w:rPr>
          <w:rFonts w:ascii="Times New Roman" w:hAnsi="Times New Roman"/>
          <w:lang w:eastAsia="ru-RU"/>
        </w:rPr>
      </w:pPr>
      <w:r w:rsidRPr="00825033">
        <w:rPr>
          <w:rFonts w:ascii="Times New Roman" w:hAnsi="Times New Roman"/>
          <w:lang w:eastAsia="ru-RU"/>
        </w:rPr>
        <w:t>Рысин И.И. Овражная эрозия в Удмуртии. Ижевск: Изд-во Удмурт</w:t>
      </w:r>
      <w:proofErr w:type="gramStart"/>
      <w:r w:rsidRPr="00825033">
        <w:rPr>
          <w:rFonts w:ascii="Times New Roman" w:hAnsi="Times New Roman"/>
          <w:lang w:eastAsia="ru-RU"/>
        </w:rPr>
        <w:t>.</w:t>
      </w:r>
      <w:proofErr w:type="gramEnd"/>
      <w:r w:rsidRPr="00825033">
        <w:rPr>
          <w:rFonts w:ascii="Times New Roman" w:hAnsi="Times New Roman"/>
          <w:lang w:eastAsia="ru-RU"/>
        </w:rPr>
        <w:t xml:space="preserve"> </w:t>
      </w:r>
      <w:proofErr w:type="gramStart"/>
      <w:r w:rsidRPr="00825033">
        <w:rPr>
          <w:rFonts w:ascii="Times New Roman" w:hAnsi="Times New Roman"/>
          <w:lang w:eastAsia="ru-RU"/>
        </w:rPr>
        <w:t>у</w:t>
      </w:r>
      <w:proofErr w:type="gramEnd"/>
      <w:r w:rsidRPr="00825033">
        <w:rPr>
          <w:rFonts w:ascii="Times New Roman" w:hAnsi="Times New Roman"/>
          <w:lang w:eastAsia="ru-RU"/>
        </w:rPr>
        <w:t>н-та, 1998. 274 с.</w:t>
      </w:r>
    </w:p>
    <w:p w:rsidR="00081F7A" w:rsidRPr="00825033" w:rsidRDefault="00081F7A" w:rsidP="00634E29">
      <w:pPr>
        <w:pStyle w:val="a5"/>
        <w:numPr>
          <w:ilvl w:val="0"/>
          <w:numId w:val="1"/>
        </w:numPr>
        <w:tabs>
          <w:tab w:val="clear" w:pos="907"/>
          <w:tab w:val="left" w:pos="0"/>
          <w:tab w:val="num" w:pos="567"/>
        </w:tabs>
        <w:spacing w:after="0" w:line="240" w:lineRule="auto"/>
        <w:ind w:left="0" w:firstLine="0"/>
        <w:jc w:val="both"/>
        <w:rPr>
          <w:rFonts w:ascii="Times New Roman" w:hAnsi="Times New Roman" w:cs="Times New Roman"/>
        </w:rPr>
      </w:pPr>
      <w:r w:rsidRPr="00825033">
        <w:rPr>
          <w:rFonts w:ascii="Times New Roman" w:hAnsi="Times New Roman" w:cs="Times New Roman"/>
        </w:rPr>
        <w:t xml:space="preserve">Рысин И.И., Голосов В.Н., Григорьев И.И., Зайцева М.Ю. Влияние изменений климата на динамику темпов роста оврагов </w:t>
      </w:r>
      <w:proofErr w:type="spellStart"/>
      <w:r w:rsidRPr="00825033">
        <w:rPr>
          <w:rFonts w:ascii="Times New Roman" w:hAnsi="Times New Roman" w:cs="Times New Roman"/>
        </w:rPr>
        <w:t>Вятско-Камского</w:t>
      </w:r>
      <w:proofErr w:type="spellEnd"/>
      <w:r w:rsidRPr="00825033">
        <w:rPr>
          <w:rFonts w:ascii="Times New Roman" w:hAnsi="Times New Roman" w:cs="Times New Roman"/>
        </w:rPr>
        <w:t xml:space="preserve"> междуречья // Геоморфология, 2017. № 1. С. 90 – 103. </w:t>
      </w:r>
    </w:p>
    <w:p w:rsidR="00081F7A" w:rsidRDefault="00081F7A" w:rsidP="00634E29">
      <w:pPr>
        <w:pStyle w:val="a7"/>
        <w:numPr>
          <w:ilvl w:val="0"/>
          <w:numId w:val="1"/>
        </w:numPr>
        <w:tabs>
          <w:tab w:val="clear" w:pos="907"/>
          <w:tab w:val="num" w:pos="567"/>
        </w:tabs>
        <w:autoSpaceDE w:val="0"/>
        <w:autoSpaceDN w:val="0"/>
        <w:adjustRightInd w:val="0"/>
        <w:spacing w:after="0" w:line="240" w:lineRule="auto"/>
        <w:ind w:left="0" w:firstLine="0"/>
        <w:contextualSpacing w:val="0"/>
        <w:jc w:val="both"/>
        <w:rPr>
          <w:rFonts w:ascii="Times New Roman" w:hAnsi="Times New Roman"/>
        </w:rPr>
      </w:pPr>
      <w:r w:rsidRPr="00825033">
        <w:rPr>
          <w:rFonts w:ascii="Times New Roman" w:hAnsi="Times New Roman"/>
        </w:rPr>
        <w:t>Рысин И.И., Голосов В.Н., Григорьев И.И., Зайцева М.Ю. О причинах современного сокращения темпов роста оврагов в Удмуртии. // Геоморфология, 2018, № 1. С. 75 – 87.</w:t>
      </w:r>
    </w:p>
    <w:p w:rsidR="00081F7A" w:rsidRDefault="00081F7A" w:rsidP="00634E29">
      <w:pPr>
        <w:pStyle w:val="a7"/>
        <w:autoSpaceDE w:val="0"/>
        <w:autoSpaceDN w:val="0"/>
        <w:adjustRightInd w:val="0"/>
        <w:spacing w:after="0" w:line="240" w:lineRule="auto"/>
        <w:ind w:left="0"/>
        <w:contextualSpacing w:val="0"/>
        <w:jc w:val="both"/>
        <w:rPr>
          <w:rFonts w:ascii="Times New Roman" w:hAnsi="Times New Roman"/>
        </w:rPr>
      </w:pPr>
      <w:bookmarkStart w:id="0" w:name="_GoBack"/>
      <w:bookmarkEnd w:id="0"/>
    </w:p>
    <w:p w:rsidR="002D433D" w:rsidRDefault="002D433D" w:rsidP="00634E29">
      <w:pPr>
        <w:pStyle w:val="a7"/>
        <w:autoSpaceDE w:val="0"/>
        <w:autoSpaceDN w:val="0"/>
        <w:adjustRightInd w:val="0"/>
        <w:spacing w:after="0" w:line="240" w:lineRule="auto"/>
        <w:ind w:left="0"/>
        <w:contextualSpacing w:val="0"/>
        <w:jc w:val="both"/>
        <w:rPr>
          <w:rFonts w:ascii="Times New Roman" w:hAnsi="Times New Roman"/>
        </w:rPr>
      </w:pPr>
    </w:p>
    <w:p w:rsidR="002D433D" w:rsidRDefault="002D433D" w:rsidP="00634E29">
      <w:pPr>
        <w:pStyle w:val="a7"/>
        <w:autoSpaceDE w:val="0"/>
        <w:autoSpaceDN w:val="0"/>
        <w:adjustRightInd w:val="0"/>
        <w:spacing w:after="0" w:line="240" w:lineRule="auto"/>
        <w:ind w:left="0"/>
        <w:contextualSpacing w:val="0"/>
        <w:jc w:val="both"/>
        <w:rPr>
          <w:rFonts w:ascii="Times New Roman" w:hAnsi="Times New Roman"/>
        </w:rPr>
      </w:pPr>
    </w:p>
    <w:p w:rsidR="002D433D" w:rsidRDefault="002D433D" w:rsidP="00634E29">
      <w:pPr>
        <w:pStyle w:val="a7"/>
        <w:autoSpaceDE w:val="0"/>
        <w:autoSpaceDN w:val="0"/>
        <w:adjustRightInd w:val="0"/>
        <w:spacing w:after="0" w:line="240" w:lineRule="auto"/>
        <w:ind w:left="0"/>
        <w:contextualSpacing w:val="0"/>
        <w:jc w:val="both"/>
        <w:rPr>
          <w:rFonts w:ascii="Times New Roman" w:hAnsi="Times New Roman"/>
        </w:rPr>
      </w:pPr>
    </w:p>
    <w:p w:rsidR="002D433D" w:rsidRDefault="002D433D" w:rsidP="00634E29">
      <w:pPr>
        <w:pStyle w:val="a7"/>
        <w:autoSpaceDE w:val="0"/>
        <w:autoSpaceDN w:val="0"/>
        <w:adjustRightInd w:val="0"/>
        <w:spacing w:after="0" w:line="240" w:lineRule="auto"/>
        <w:ind w:left="0"/>
        <w:contextualSpacing w:val="0"/>
        <w:jc w:val="both"/>
        <w:rPr>
          <w:rFonts w:ascii="Times New Roman" w:hAnsi="Times New Roman"/>
        </w:rPr>
      </w:pPr>
    </w:p>
    <w:p w:rsidR="00C71C29" w:rsidRPr="00C96C1C" w:rsidRDefault="00C71C29" w:rsidP="00634E29">
      <w:pPr>
        <w:spacing w:line="240" w:lineRule="auto"/>
        <w:jc w:val="both"/>
        <w:rPr>
          <w:rFonts w:ascii="Times New Roman" w:hAnsi="Times New Roman" w:cs="Times New Roman"/>
        </w:rPr>
      </w:pPr>
    </w:p>
    <w:sectPr w:rsidR="00C71C29" w:rsidRPr="00C96C1C" w:rsidSect="00901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A54"/>
    <w:multiLevelType w:val="hybridMultilevel"/>
    <w:tmpl w:val="403462FC"/>
    <w:lvl w:ilvl="0" w:tplc="0419000F">
      <w:start w:val="1"/>
      <w:numFmt w:val="decimal"/>
      <w:lvlText w:val="%1."/>
      <w:lvlJc w:val="left"/>
      <w:pPr>
        <w:tabs>
          <w:tab w:val="num" w:pos="907"/>
        </w:tabs>
        <w:ind w:left="907" w:hanging="360"/>
      </w:p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376BDD"/>
    <w:rsid w:val="00081F7A"/>
    <w:rsid w:val="000A3B69"/>
    <w:rsid w:val="000B540E"/>
    <w:rsid w:val="00101FEF"/>
    <w:rsid w:val="00187ECA"/>
    <w:rsid w:val="001D6918"/>
    <w:rsid w:val="002816C4"/>
    <w:rsid w:val="002D433D"/>
    <w:rsid w:val="00376BDD"/>
    <w:rsid w:val="003A480D"/>
    <w:rsid w:val="0041461F"/>
    <w:rsid w:val="00634E29"/>
    <w:rsid w:val="00727D0A"/>
    <w:rsid w:val="007B478C"/>
    <w:rsid w:val="007E0036"/>
    <w:rsid w:val="009015C7"/>
    <w:rsid w:val="00A933F6"/>
    <w:rsid w:val="00C71C29"/>
    <w:rsid w:val="00C96C1C"/>
    <w:rsid w:val="00CA7BA4"/>
    <w:rsid w:val="00D178B8"/>
    <w:rsid w:val="00EC0CB5"/>
    <w:rsid w:val="00EF2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C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C1C"/>
    <w:rPr>
      <w:rFonts w:ascii="Tahoma" w:hAnsi="Tahoma" w:cs="Tahoma"/>
      <w:sz w:val="16"/>
      <w:szCs w:val="16"/>
    </w:rPr>
  </w:style>
  <w:style w:type="paragraph" w:styleId="a5">
    <w:name w:val="Body Text Indent"/>
    <w:basedOn w:val="a"/>
    <w:link w:val="a6"/>
    <w:uiPriority w:val="99"/>
    <w:semiHidden/>
    <w:unhideWhenUsed/>
    <w:rsid w:val="00081F7A"/>
    <w:pPr>
      <w:spacing w:after="120"/>
      <w:ind w:left="283"/>
    </w:pPr>
  </w:style>
  <w:style w:type="character" w:customStyle="1" w:styleId="a6">
    <w:name w:val="Основной текст с отступом Знак"/>
    <w:basedOn w:val="a0"/>
    <w:link w:val="a5"/>
    <w:uiPriority w:val="99"/>
    <w:semiHidden/>
    <w:rsid w:val="00081F7A"/>
  </w:style>
  <w:style w:type="paragraph" w:styleId="a7">
    <w:name w:val="List Paragraph"/>
    <w:basedOn w:val="a"/>
    <w:uiPriority w:val="99"/>
    <w:qFormat/>
    <w:rsid w:val="00081F7A"/>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57;&#1090;&#1072;&#1088;&#1099;&#1081;%20&#1082;&#1086;&#1084;&#1087;\&#1059;&#1085;&#1080;&#1074;&#1077;&#1088;\&#1052;&#1086;&#1103;%20&#1076;&#1080;&#1089;&#1089;&#1077;&#1088;&#1090;&#1072;&#1094;&#1080;&#1103;\&#1075;&#1088;&#1072;&#1092;&#1080;&#1082;&#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987482614742698"/>
          <c:y val="6.1643973057517024E-2"/>
          <c:w val="0.78720445062586963"/>
          <c:h val="0.75114322725641192"/>
        </c:manualLayout>
      </c:layout>
      <c:lineChart>
        <c:grouping val="standard"/>
        <c:ser>
          <c:idx val="0"/>
          <c:order val="0"/>
          <c:tx>
            <c:v>1</c:v>
          </c:tx>
          <c:spPr>
            <a:ln w="12700">
              <a:solidFill>
                <a:srgbClr val="000000"/>
              </a:solidFill>
              <a:prstDash val="solid"/>
            </a:ln>
          </c:spPr>
          <c:marker>
            <c:symbol val="diamond"/>
            <c:size val="6"/>
            <c:spPr>
              <a:solidFill>
                <a:srgbClr val="000000"/>
              </a:solidFill>
              <a:ln>
                <a:solidFill>
                  <a:srgbClr val="000000"/>
                </a:solidFill>
                <a:prstDash val="solid"/>
              </a:ln>
            </c:spPr>
          </c:marker>
          <c:cat>
            <c:numRef>
              <c:f>Лист1!$A$1:$A$40</c:f>
              <c:numCache>
                <c:formatCode>General</c:formatCode>
                <c:ptCount val="40"/>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numCache>
            </c:numRef>
          </c:cat>
          <c:val>
            <c:numRef>
              <c:f>Лист1!$D$1:$D$40</c:f>
              <c:numCache>
                <c:formatCode>General</c:formatCode>
                <c:ptCount val="40"/>
                <c:pt idx="0">
                  <c:v>1.4</c:v>
                </c:pt>
                <c:pt idx="1">
                  <c:v>2.8</c:v>
                </c:pt>
                <c:pt idx="2">
                  <c:v>1.5</c:v>
                </c:pt>
                <c:pt idx="3">
                  <c:v>1.3</c:v>
                </c:pt>
                <c:pt idx="4">
                  <c:v>1.6</c:v>
                </c:pt>
                <c:pt idx="5">
                  <c:v>0.5</c:v>
                </c:pt>
                <c:pt idx="6">
                  <c:v>0.60000000000000064</c:v>
                </c:pt>
                <c:pt idx="7">
                  <c:v>1.3</c:v>
                </c:pt>
                <c:pt idx="8">
                  <c:v>0.9</c:v>
                </c:pt>
                <c:pt idx="9">
                  <c:v>0.60000000000000064</c:v>
                </c:pt>
                <c:pt idx="10">
                  <c:v>1.3</c:v>
                </c:pt>
                <c:pt idx="11">
                  <c:v>1.1000000000000001</c:v>
                </c:pt>
                <c:pt idx="12">
                  <c:v>1.9000000000000001</c:v>
                </c:pt>
                <c:pt idx="13">
                  <c:v>2.2999999999999998</c:v>
                </c:pt>
                <c:pt idx="14">
                  <c:v>1.6</c:v>
                </c:pt>
                <c:pt idx="15">
                  <c:v>1.2</c:v>
                </c:pt>
                <c:pt idx="16">
                  <c:v>1.8</c:v>
                </c:pt>
                <c:pt idx="17">
                  <c:v>1.1000000000000001</c:v>
                </c:pt>
                <c:pt idx="18">
                  <c:v>0.35000000000000031</c:v>
                </c:pt>
                <c:pt idx="19">
                  <c:v>0.75000000000000111</c:v>
                </c:pt>
                <c:pt idx="20">
                  <c:v>0.63000000000000111</c:v>
                </c:pt>
                <c:pt idx="21">
                  <c:v>0.22000000000000008</c:v>
                </c:pt>
                <c:pt idx="22">
                  <c:v>0.48000000000000032</c:v>
                </c:pt>
                <c:pt idx="23">
                  <c:v>0.69000000000000083</c:v>
                </c:pt>
                <c:pt idx="24">
                  <c:v>0.42000000000000032</c:v>
                </c:pt>
                <c:pt idx="25">
                  <c:v>0.23</c:v>
                </c:pt>
                <c:pt idx="26">
                  <c:v>0.2</c:v>
                </c:pt>
                <c:pt idx="27">
                  <c:v>0.16000000000000009</c:v>
                </c:pt>
                <c:pt idx="28">
                  <c:v>0.11000000000000004</c:v>
                </c:pt>
                <c:pt idx="29">
                  <c:v>0.29000000000000031</c:v>
                </c:pt>
                <c:pt idx="30">
                  <c:v>5.0000000000000044E-2</c:v>
                </c:pt>
                <c:pt idx="31">
                  <c:v>0.16000000000000009</c:v>
                </c:pt>
                <c:pt idx="32">
                  <c:v>0.23</c:v>
                </c:pt>
                <c:pt idx="33">
                  <c:v>0.23</c:v>
                </c:pt>
                <c:pt idx="34">
                  <c:v>0.27</c:v>
                </c:pt>
                <c:pt idx="35">
                  <c:v>0.15000000000000024</c:v>
                </c:pt>
                <c:pt idx="36">
                  <c:v>0.25</c:v>
                </c:pt>
                <c:pt idx="37">
                  <c:v>0.27</c:v>
                </c:pt>
                <c:pt idx="38">
                  <c:v>0.4</c:v>
                </c:pt>
                <c:pt idx="39">
                  <c:v>0.11000000000000004</c:v>
                </c:pt>
              </c:numCache>
            </c:numRef>
          </c:val>
        </c:ser>
        <c:ser>
          <c:idx val="1"/>
          <c:order val="1"/>
          <c:tx>
            <c:v>2</c:v>
          </c:tx>
          <c:spPr>
            <a:ln w="38100">
              <a:solidFill>
                <a:srgbClr val="000000"/>
              </a:solidFill>
              <a:prstDash val="sysDash"/>
            </a:ln>
          </c:spPr>
          <c:marker>
            <c:symbol val="square"/>
            <c:size val="6"/>
            <c:spPr>
              <a:solidFill>
                <a:srgbClr val="000000"/>
              </a:solidFill>
              <a:ln>
                <a:solidFill>
                  <a:srgbClr val="000000"/>
                </a:solidFill>
                <a:prstDash val="solid"/>
              </a:ln>
            </c:spPr>
          </c:marker>
          <c:cat>
            <c:numRef>
              <c:f>Лист1!$A$1:$A$40</c:f>
              <c:numCache>
                <c:formatCode>General</c:formatCode>
                <c:ptCount val="40"/>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numCache>
            </c:numRef>
          </c:cat>
          <c:val>
            <c:numRef>
              <c:f>Лист1!$F$1:$F$39</c:f>
              <c:numCache>
                <c:formatCode>General</c:formatCode>
                <c:ptCount val="39"/>
                <c:pt idx="2">
                  <c:v>1.7200000000000006</c:v>
                </c:pt>
                <c:pt idx="7">
                  <c:v>0.78</c:v>
                </c:pt>
                <c:pt idx="12">
                  <c:v>1.6400000000000001</c:v>
                </c:pt>
                <c:pt idx="17">
                  <c:v>1.04</c:v>
                </c:pt>
                <c:pt idx="22">
                  <c:v>0.49000000000000032</c:v>
                </c:pt>
                <c:pt idx="27">
                  <c:v>0.2</c:v>
                </c:pt>
                <c:pt idx="32">
                  <c:v>0.19000000000000009</c:v>
                </c:pt>
                <c:pt idx="37">
                  <c:v>0.24000000000000021</c:v>
                </c:pt>
              </c:numCache>
            </c:numRef>
          </c:val>
        </c:ser>
        <c:marker val="1"/>
        <c:axId val="82036224"/>
        <c:axId val="82044800"/>
      </c:lineChart>
      <c:catAx>
        <c:axId val="82036224"/>
        <c:scaling>
          <c:orientation val="minMax"/>
        </c:scaling>
        <c:axPos val="b"/>
        <c:title>
          <c:tx>
            <c:rich>
              <a:bodyPr/>
              <a:lstStyle/>
              <a:p>
                <a:pPr>
                  <a:defRPr sz="1025" b="1" i="0" u="none" strike="noStrike" baseline="0">
                    <a:solidFill>
                      <a:srgbClr val="000000"/>
                    </a:solidFill>
                    <a:latin typeface="Arial Cyr"/>
                    <a:ea typeface="Arial Cyr"/>
                    <a:cs typeface="Arial Cyr"/>
                  </a:defRPr>
                </a:pPr>
                <a:r>
                  <a:rPr lang="ru-RU"/>
                  <a:t>годы</a:t>
                </a:r>
              </a:p>
            </c:rich>
          </c:tx>
          <c:layout>
            <c:manualLayout>
              <c:xMode val="edge"/>
              <c:yMode val="edge"/>
              <c:x val="0.46693913547896565"/>
              <c:y val="0.93930002366179877"/>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1075" b="0" i="0" u="none" strike="noStrike" baseline="0">
                <a:solidFill>
                  <a:srgbClr val="000000"/>
                </a:solidFill>
                <a:latin typeface="Arial Cyr"/>
                <a:ea typeface="Arial Cyr"/>
                <a:cs typeface="Arial Cyr"/>
              </a:defRPr>
            </a:pPr>
            <a:endParaRPr lang="ru-RU"/>
          </a:p>
        </c:txPr>
        <c:crossAx val="82044800"/>
        <c:crosses val="autoZero"/>
        <c:auto val="1"/>
        <c:lblAlgn val="ctr"/>
        <c:lblOffset val="100"/>
        <c:tickLblSkip val="2"/>
        <c:tickMarkSkip val="1"/>
      </c:catAx>
      <c:valAx>
        <c:axId val="82044800"/>
        <c:scaling>
          <c:orientation val="minMax"/>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Cyr"/>
                    <a:ea typeface="Arial Cyr"/>
                    <a:cs typeface="Arial Cyr"/>
                  </a:defRPr>
                </a:pPr>
                <a:r>
                  <a:rPr lang="ru-RU"/>
                  <a:t>метры</a:t>
                </a:r>
              </a:p>
            </c:rich>
          </c:tx>
          <c:layout>
            <c:manualLayout>
              <c:xMode val="edge"/>
              <c:yMode val="edge"/>
              <c:x val="1.4049441359063383E-2"/>
              <c:y val="0.3675807955128344"/>
            </c:manualLayout>
          </c:layout>
          <c:spPr>
            <a:noFill/>
            <a:ln w="25400">
              <a:noFill/>
            </a:ln>
          </c:spPr>
        </c:title>
        <c:numFmt formatCode="0.00" sourceLinked="0"/>
        <c:tickLblPos val="nextTo"/>
        <c:spPr>
          <a:ln w="3175">
            <a:solidFill>
              <a:srgbClr val="000000"/>
            </a:solidFill>
            <a:prstDash val="solid"/>
          </a:ln>
        </c:spPr>
        <c:txPr>
          <a:bodyPr rot="0" vert="horz"/>
          <a:lstStyle/>
          <a:p>
            <a:pPr>
              <a:defRPr sz="1075" b="0" i="0" u="none" strike="noStrike" baseline="0">
                <a:solidFill>
                  <a:srgbClr val="000000"/>
                </a:solidFill>
                <a:latin typeface="Arial Cyr"/>
                <a:ea typeface="Arial Cyr"/>
                <a:cs typeface="Arial Cyr"/>
              </a:defRPr>
            </a:pPr>
            <a:endParaRPr lang="ru-RU"/>
          </a:p>
        </c:txPr>
        <c:crossAx val="82036224"/>
        <c:crosses val="autoZero"/>
        <c:crossBetween val="between"/>
      </c:valAx>
      <c:spPr>
        <a:noFill/>
        <a:ln w="12700">
          <a:solidFill>
            <a:srgbClr val="808080"/>
          </a:solidFill>
          <a:prstDash val="solid"/>
        </a:ln>
      </c:spPr>
    </c:plotArea>
    <c:legend>
      <c:legendPos val="r"/>
      <c:layout>
        <c:manualLayout>
          <c:xMode val="edge"/>
          <c:yMode val="edge"/>
          <c:x val="0.90542420027816461"/>
          <c:y val="0.40182737993048218"/>
          <c:w val="8.7621696801112717E-2"/>
          <c:h val="0.1004568449826202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0.15683</cdr:x>
      <cdr:y>0.37785</cdr:y>
    </cdr:from>
    <cdr:to>
      <cdr:x>0.258</cdr:x>
      <cdr:y>0.61644</cdr:y>
    </cdr:to>
    <cdr:cxnSp macro="">
      <cdr:nvCxnSpPr>
        <cdr:cNvPr id="6145" name="AutoShape 1"/>
        <cdr:cNvCxnSpPr>
          <a:cxnSpLocks xmlns:a="http://schemas.openxmlformats.org/drawingml/2006/main" noChangeShapeType="1"/>
        </cdr:cNvCxnSpPr>
      </cdr:nvCxnSpPr>
      <cdr:spPr bwMode="auto">
        <a:xfrm xmlns:a="http://schemas.openxmlformats.org/drawingml/2006/main" flipH="1" flipV="1">
          <a:off x="1074070" y="1576361"/>
          <a:ext cx="692818" cy="995389"/>
        </a:xfrm>
        <a:prstGeom xmlns:a="http://schemas.openxmlformats.org/drawingml/2006/main" prst="straightConnector1">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cxnSp>
  </cdr:relSizeAnchor>
  <cdr:relSizeAnchor xmlns:cdr="http://schemas.openxmlformats.org/drawingml/2006/chartDrawing">
    <cdr:from>
      <cdr:x>0.2584</cdr:x>
      <cdr:y>0.40183</cdr:y>
    </cdr:from>
    <cdr:to>
      <cdr:x>0.35605</cdr:x>
      <cdr:y>0.61531</cdr:y>
    </cdr:to>
    <cdr:sp macro="" textlink="">
      <cdr:nvSpPr>
        <cdr:cNvPr id="6146" name="Line 2"/>
        <cdr:cNvSpPr>
          <a:spLocks xmlns:a="http://schemas.openxmlformats.org/drawingml/2006/main" noChangeShapeType="1"/>
        </cdr:cNvSpPr>
      </cdr:nvSpPr>
      <cdr:spPr bwMode="auto">
        <a:xfrm xmlns:a="http://schemas.openxmlformats.org/drawingml/2006/main" flipV="1">
          <a:off x="1769665" y="1676399"/>
          <a:ext cx="668735" cy="890651"/>
        </a:xfrm>
        <a:prstGeom xmlns:a="http://schemas.openxmlformats.org/drawingml/2006/main" prst="line">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sp>
  </cdr:relSizeAnchor>
  <cdr:relSizeAnchor xmlns:cdr="http://schemas.openxmlformats.org/drawingml/2006/chartDrawing">
    <cdr:from>
      <cdr:x>0.35675</cdr:x>
      <cdr:y>0.40183</cdr:y>
    </cdr:from>
    <cdr:to>
      <cdr:x>0.4548</cdr:x>
      <cdr:y>0.54909</cdr:y>
    </cdr:to>
    <cdr:sp macro="" textlink="">
      <cdr:nvSpPr>
        <cdr:cNvPr id="6147" name="Line 3"/>
        <cdr:cNvSpPr>
          <a:spLocks xmlns:a="http://schemas.openxmlformats.org/drawingml/2006/main" noChangeShapeType="1"/>
        </cdr:cNvSpPr>
      </cdr:nvSpPr>
      <cdr:spPr bwMode="auto">
        <a:xfrm xmlns:a="http://schemas.openxmlformats.org/drawingml/2006/main">
          <a:off x="2443163" y="1676400"/>
          <a:ext cx="671512" cy="614364"/>
        </a:xfrm>
        <a:prstGeom xmlns:a="http://schemas.openxmlformats.org/drawingml/2006/main" prst="line">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sp>
  </cdr:relSizeAnchor>
  <cdr:relSizeAnchor xmlns:cdr="http://schemas.openxmlformats.org/drawingml/2006/chartDrawing">
    <cdr:from>
      <cdr:x>0.45619</cdr:x>
      <cdr:y>0.55251</cdr:y>
    </cdr:from>
    <cdr:to>
      <cdr:x>0.55285</cdr:x>
      <cdr:y>0.68836</cdr:y>
    </cdr:to>
    <cdr:sp macro="" textlink="">
      <cdr:nvSpPr>
        <cdr:cNvPr id="6148" name="Line 4"/>
        <cdr:cNvSpPr>
          <a:spLocks xmlns:a="http://schemas.openxmlformats.org/drawingml/2006/main" noChangeShapeType="1"/>
        </cdr:cNvSpPr>
      </cdr:nvSpPr>
      <cdr:spPr bwMode="auto">
        <a:xfrm xmlns:a="http://schemas.openxmlformats.org/drawingml/2006/main">
          <a:off x="3124201" y="2305050"/>
          <a:ext cx="661987" cy="566738"/>
        </a:xfrm>
        <a:prstGeom xmlns:a="http://schemas.openxmlformats.org/drawingml/2006/main" prst="line">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sp>
  </cdr:relSizeAnchor>
  <cdr:relSizeAnchor xmlns:cdr="http://schemas.openxmlformats.org/drawingml/2006/chartDrawing">
    <cdr:from>
      <cdr:x>0.55285</cdr:x>
      <cdr:y>0.6895</cdr:y>
    </cdr:from>
    <cdr:to>
      <cdr:x>0.6516</cdr:x>
      <cdr:y>0.7637</cdr:y>
    </cdr:to>
    <cdr:sp macro="" textlink="">
      <cdr:nvSpPr>
        <cdr:cNvPr id="6149" name="Line 5"/>
        <cdr:cNvSpPr>
          <a:spLocks xmlns:a="http://schemas.openxmlformats.org/drawingml/2006/main" noChangeShapeType="1"/>
        </cdr:cNvSpPr>
      </cdr:nvSpPr>
      <cdr:spPr bwMode="auto">
        <a:xfrm xmlns:a="http://schemas.openxmlformats.org/drawingml/2006/main">
          <a:off x="3786188" y="2876550"/>
          <a:ext cx="676275" cy="309563"/>
        </a:xfrm>
        <a:prstGeom xmlns:a="http://schemas.openxmlformats.org/drawingml/2006/main" prst="line">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sp>
  </cdr:relSizeAnchor>
  <cdr:relSizeAnchor xmlns:cdr="http://schemas.openxmlformats.org/drawingml/2006/chartDrawing">
    <cdr:from>
      <cdr:x>0.65229</cdr:x>
      <cdr:y>0.76256</cdr:y>
    </cdr:from>
    <cdr:to>
      <cdr:x>0.74896</cdr:x>
      <cdr:y>0.76484</cdr:y>
    </cdr:to>
    <cdr:sp macro="" textlink="">
      <cdr:nvSpPr>
        <cdr:cNvPr id="6150" name="Line 6"/>
        <cdr:cNvSpPr>
          <a:spLocks xmlns:a="http://schemas.openxmlformats.org/drawingml/2006/main" noChangeShapeType="1"/>
        </cdr:cNvSpPr>
      </cdr:nvSpPr>
      <cdr:spPr bwMode="auto">
        <a:xfrm xmlns:a="http://schemas.openxmlformats.org/drawingml/2006/main">
          <a:off x="4467226" y="3181350"/>
          <a:ext cx="661988" cy="9525"/>
        </a:xfrm>
        <a:prstGeom xmlns:a="http://schemas.openxmlformats.org/drawingml/2006/main" prst="line">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sp>
  </cdr:relSizeAnchor>
  <cdr:relSizeAnchor xmlns:cdr="http://schemas.openxmlformats.org/drawingml/2006/chartDrawing">
    <cdr:from>
      <cdr:x>0.74965</cdr:x>
      <cdr:y>0.75342</cdr:y>
    </cdr:from>
    <cdr:to>
      <cdr:x>0.84771</cdr:x>
      <cdr:y>0.76598</cdr:y>
    </cdr:to>
    <cdr:sp macro="" textlink="">
      <cdr:nvSpPr>
        <cdr:cNvPr id="6151" name="Line 7"/>
        <cdr:cNvSpPr>
          <a:spLocks xmlns:a="http://schemas.openxmlformats.org/drawingml/2006/main" noChangeShapeType="1"/>
        </cdr:cNvSpPr>
      </cdr:nvSpPr>
      <cdr:spPr bwMode="auto">
        <a:xfrm xmlns:a="http://schemas.openxmlformats.org/drawingml/2006/main" flipV="1">
          <a:off x="5133975" y="3143248"/>
          <a:ext cx="671513" cy="52389"/>
        </a:xfrm>
        <a:prstGeom xmlns:a="http://schemas.openxmlformats.org/drawingml/2006/main" prst="line">
          <a:avLst/>
        </a:prstGeom>
        <a:noFill xmlns:a="http://schemas.openxmlformats.org/drawingml/2006/main"/>
        <a:ln xmlns:a="http://schemas.openxmlformats.org/drawingml/2006/main" w="31750">
          <a:solidFill>
            <a:srgbClr val="000000"/>
          </a:solidFill>
          <a:prstDash val="sysDot"/>
          <a:round/>
          <a:headEnd/>
          <a:tailEnd/>
        </a:ln>
        <a:extLst xmlns:a="http://schemas.openxmlformats.org/drawingml/2006/main">
          <a:ext uri="{909E8E84-426E-40DD-AFC4-6F175D3DCCD1}"/>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2020-11-14T16:18:00Z</dcterms:created>
  <dcterms:modified xsi:type="dcterms:W3CDTF">2020-11-14T16:18:00Z</dcterms:modified>
</cp:coreProperties>
</file>