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E7D8F" w14:textId="77777777" w:rsidR="00114F4E" w:rsidRPr="0092212F" w:rsidRDefault="00EB77DC" w:rsidP="0092212F">
      <w:pPr>
        <w:jc w:val="center"/>
        <w:rPr>
          <w:rFonts w:eastAsia="Calibri"/>
          <w:b/>
        </w:rPr>
      </w:pPr>
      <w:r w:rsidRPr="0092212F">
        <w:rPr>
          <w:rFonts w:eastAsia="Calibri"/>
          <w:b/>
        </w:rPr>
        <w:t>АНАЛИЗ ЭФФЕКТИВНОСТИ ОЧИСТКИ ГАЛЬВАНИЧЕСКИХ СТОКОВ ПРЕДПРИЯТИЯМИ ТАМБОВСКОЙ ОБЛАСТИ</w:t>
      </w:r>
    </w:p>
    <w:p w14:paraId="3F03A89F" w14:textId="77777777" w:rsidR="00EB77DC" w:rsidRPr="0092212F" w:rsidRDefault="00D37E07" w:rsidP="0092212F">
      <w:pPr>
        <w:ind w:firstLine="708"/>
        <w:rPr>
          <w:rFonts w:eastAsia="Calibri"/>
        </w:rPr>
      </w:pPr>
      <w:r w:rsidRPr="0092212F">
        <w:rPr>
          <w:rFonts w:eastAsia="Calibri"/>
        </w:rPr>
        <w:t>В статье проведён анализ совершенствования очистки гальванических стоков на предприятиях Тамбовской области</w:t>
      </w:r>
      <w:r w:rsidR="00887783" w:rsidRPr="0092212F">
        <w:rPr>
          <w:rFonts w:eastAsia="Calibri"/>
        </w:rPr>
        <w:t>,</w:t>
      </w:r>
      <w:r w:rsidRPr="0092212F">
        <w:rPr>
          <w:rFonts w:eastAsia="Calibri"/>
        </w:rPr>
        <w:t xml:space="preserve"> с учётом роста за последние пять лет производства с использованием гальванических операций.</w:t>
      </w:r>
    </w:p>
    <w:p w14:paraId="0A68B528" w14:textId="77777777" w:rsidR="001B1FC2" w:rsidRPr="0092212F" w:rsidRDefault="00B51D29" w:rsidP="0092212F">
      <w:pPr>
        <w:ind w:firstLine="708"/>
        <w:rPr>
          <w:rFonts w:eastAsia="Calibri"/>
          <w:highlight w:val="yellow"/>
        </w:rPr>
      </w:pPr>
      <w:r w:rsidRPr="0092212F">
        <w:rPr>
          <w:rFonts w:eastAsia="Calibri"/>
        </w:rPr>
        <w:t>Гальванические стоки, являяс</w:t>
      </w:r>
      <w:bookmarkStart w:id="0" w:name="_GoBack"/>
      <w:bookmarkEnd w:id="0"/>
      <w:r w:rsidRPr="0092212F">
        <w:rPr>
          <w:rFonts w:eastAsia="Calibri"/>
        </w:rPr>
        <w:t xml:space="preserve">ь основным источником загрязнения сточных </w:t>
      </w:r>
      <w:proofErr w:type="gramStart"/>
      <w:r w:rsidRPr="0092212F">
        <w:rPr>
          <w:rFonts w:eastAsia="Calibri"/>
        </w:rPr>
        <w:t>вод  в</w:t>
      </w:r>
      <w:proofErr w:type="gramEnd"/>
      <w:r w:rsidRPr="0092212F">
        <w:rPr>
          <w:rFonts w:eastAsia="Calibri"/>
        </w:rPr>
        <w:t xml:space="preserve"> производстве</w:t>
      </w:r>
      <w:r w:rsidR="00887783" w:rsidRPr="0092212F">
        <w:rPr>
          <w:rFonts w:eastAsia="Calibri"/>
        </w:rPr>
        <w:t>,</w:t>
      </w:r>
      <w:r w:rsidRPr="0092212F">
        <w:rPr>
          <w:rFonts w:eastAsia="Calibri"/>
        </w:rPr>
        <w:t xml:space="preserve"> на сегодняшний день нуждаются в  </w:t>
      </w:r>
      <w:r w:rsidR="00887783" w:rsidRPr="0092212F">
        <w:rPr>
          <w:rFonts w:eastAsia="Calibri"/>
        </w:rPr>
        <w:t xml:space="preserve">решении  вопроса  о </w:t>
      </w:r>
      <w:r w:rsidR="00D37E07" w:rsidRPr="0092212F">
        <w:rPr>
          <w:rFonts w:eastAsia="Calibri"/>
        </w:rPr>
        <w:t>совершенствовани</w:t>
      </w:r>
      <w:r w:rsidR="00887783" w:rsidRPr="0092212F">
        <w:rPr>
          <w:rFonts w:eastAsia="Calibri"/>
        </w:rPr>
        <w:t>и систем и методов очистки, т.к. используемые  на настоящий момент методы очистки являются устаревшими и являются угрозой экологической безопасности.</w:t>
      </w:r>
    </w:p>
    <w:p w14:paraId="6DFA6764" w14:textId="77777777" w:rsidR="00862874" w:rsidRPr="0092212F" w:rsidRDefault="00EB77DC" w:rsidP="0092212F">
      <w:pPr>
        <w:ind w:firstLine="708"/>
        <w:jc w:val="both"/>
        <w:rPr>
          <w:bCs/>
          <w:color w:val="000000"/>
          <w:shd w:val="clear" w:color="auto" w:fill="ECF1F7"/>
        </w:rPr>
      </w:pPr>
      <w:r w:rsidRPr="0092212F">
        <w:rPr>
          <w:rFonts w:eastAsia="Calibri"/>
        </w:rPr>
        <w:t xml:space="preserve">По данным </w:t>
      </w:r>
      <w:r w:rsidR="00862874" w:rsidRPr="0092212F">
        <w:t xml:space="preserve">Федеральной службы государственной статистики по </w:t>
      </w:r>
      <w:r w:rsidR="001B4B32" w:rsidRPr="0092212F">
        <w:t>Тамбовской области</w:t>
      </w:r>
      <w:r w:rsidR="00862874" w:rsidRPr="0092212F">
        <w:t xml:space="preserve"> за период 2014 -201</w:t>
      </w:r>
      <w:r w:rsidR="00DD4CC2" w:rsidRPr="0092212F">
        <w:t>7</w:t>
      </w:r>
      <w:r w:rsidR="00862874" w:rsidRPr="0092212F">
        <w:t xml:space="preserve"> гг. в регионе был существенный рост обрабатывающей промышленности</w:t>
      </w:r>
      <w:r w:rsidR="00B87E8D" w:rsidRPr="0092212F">
        <w:t xml:space="preserve"> (табл. 1)</w:t>
      </w:r>
      <w:r w:rsidR="00B87E8D" w:rsidRPr="0092212F">
        <w:rPr>
          <w:bCs/>
          <w:color w:val="000000"/>
          <w:shd w:val="clear" w:color="auto" w:fill="ECF1F7"/>
        </w:rPr>
        <w:t xml:space="preserve"> </w:t>
      </w:r>
      <w:r w:rsidR="00912542" w:rsidRPr="0092212F">
        <w:rPr>
          <w:rFonts w:eastAsia="Calibri"/>
          <w:lang w:eastAsia="en-US"/>
        </w:rPr>
        <w:t>[</w:t>
      </w:r>
      <w:r w:rsidR="00110465" w:rsidRPr="0092212F">
        <w:rPr>
          <w:rFonts w:eastAsia="Calibri"/>
          <w:lang w:eastAsia="en-US"/>
        </w:rPr>
        <w:t>1</w:t>
      </w:r>
      <w:r w:rsidR="00912542" w:rsidRPr="0092212F">
        <w:rPr>
          <w:rFonts w:eastAsia="Calibri"/>
          <w:lang w:eastAsia="en-US"/>
        </w:rPr>
        <w:t>]</w:t>
      </w:r>
    </w:p>
    <w:p w14:paraId="3A5D5972" w14:textId="77777777" w:rsidR="004A092F" w:rsidRPr="0092212F" w:rsidRDefault="00DD4CC2" w:rsidP="0092212F">
      <w:pPr>
        <w:ind w:firstLine="708"/>
        <w:jc w:val="both"/>
        <w:rPr>
          <w:rFonts w:eastAsia="Calibri"/>
        </w:rPr>
      </w:pPr>
      <w:r w:rsidRPr="0092212F">
        <w:t>Таблица 1. Индексы промышленного производства по видам экономической деятельности (в процентах к предыдущему году)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0"/>
        <w:gridCol w:w="855"/>
        <w:gridCol w:w="855"/>
        <w:gridCol w:w="855"/>
        <w:gridCol w:w="855"/>
      </w:tblGrid>
      <w:tr w:rsidR="00DD4CC2" w:rsidRPr="0092212F" w14:paraId="51E1CA78" w14:textId="77777777" w:rsidTr="00DD4CC2">
        <w:trPr>
          <w:trHeight w:val="381"/>
        </w:trPr>
        <w:tc>
          <w:tcPr>
            <w:tcW w:w="0" w:type="auto"/>
            <w:vAlign w:val="center"/>
          </w:tcPr>
          <w:p w14:paraId="2A3D3678" w14:textId="77777777" w:rsidR="00DD4CC2" w:rsidRPr="0092212F" w:rsidRDefault="00DD4CC2" w:rsidP="0092212F">
            <w:pPr>
              <w:pStyle w:val="a4"/>
              <w:rPr>
                <w:rFonts w:eastAsia="Calibri"/>
              </w:rPr>
            </w:pPr>
            <w:r w:rsidRPr="0092212F">
              <w:rPr>
                <w:rFonts w:eastAsia="Calibri"/>
              </w:rPr>
              <w:t>Вид производства</w:t>
            </w:r>
          </w:p>
        </w:tc>
        <w:tc>
          <w:tcPr>
            <w:tcW w:w="0" w:type="auto"/>
            <w:vAlign w:val="center"/>
          </w:tcPr>
          <w:p w14:paraId="095F5B16" w14:textId="77777777" w:rsidR="00DD4CC2" w:rsidRPr="0092212F" w:rsidRDefault="00DD4CC2" w:rsidP="0092212F">
            <w:pPr>
              <w:pStyle w:val="a4"/>
              <w:rPr>
                <w:rFonts w:eastAsia="Calibri"/>
              </w:rPr>
            </w:pPr>
            <w:r w:rsidRPr="0092212F">
              <w:rPr>
                <w:rFonts w:eastAsia="Calibri"/>
              </w:rPr>
              <w:t>2014г.</w:t>
            </w:r>
          </w:p>
        </w:tc>
        <w:tc>
          <w:tcPr>
            <w:tcW w:w="0" w:type="auto"/>
            <w:vAlign w:val="center"/>
          </w:tcPr>
          <w:p w14:paraId="2A360507" w14:textId="77777777" w:rsidR="00DD4CC2" w:rsidRPr="0092212F" w:rsidRDefault="00DD4CC2" w:rsidP="0092212F">
            <w:pPr>
              <w:pStyle w:val="a4"/>
              <w:rPr>
                <w:rFonts w:eastAsia="Calibri"/>
              </w:rPr>
            </w:pPr>
            <w:r w:rsidRPr="0092212F">
              <w:rPr>
                <w:rFonts w:eastAsia="Calibri"/>
              </w:rPr>
              <w:t>2015г.</w:t>
            </w:r>
          </w:p>
        </w:tc>
        <w:tc>
          <w:tcPr>
            <w:tcW w:w="0" w:type="auto"/>
            <w:vAlign w:val="center"/>
          </w:tcPr>
          <w:p w14:paraId="756BB38F" w14:textId="77777777" w:rsidR="00DD4CC2" w:rsidRPr="0092212F" w:rsidRDefault="00DD4CC2" w:rsidP="0092212F">
            <w:pPr>
              <w:pStyle w:val="a4"/>
              <w:rPr>
                <w:rFonts w:eastAsia="Calibri"/>
              </w:rPr>
            </w:pPr>
            <w:r w:rsidRPr="0092212F">
              <w:rPr>
                <w:rFonts w:eastAsia="Calibri"/>
              </w:rPr>
              <w:t>2016г.</w:t>
            </w:r>
          </w:p>
        </w:tc>
        <w:tc>
          <w:tcPr>
            <w:tcW w:w="0" w:type="auto"/>
            <w:vAlign w:val="center"/>
          </w:tcPr>
          <w:p w14:paraId="3FD462DF" w14:textId="77777777" w:rsidR="00DD4CC2" w:rsidRPr="0092212F" w:rsidRDefault="00DD4CC2" w:rsidP="0092212F">
            <w:pPr>
              <w:pStyle w:val="a4"/>
              <w:rPr>
                <w:rFonts w:eastAsia="Calibri"/>
              </w:rPr>
            </w:pPr>
            <w:r w:rsidRPr="0092212F">
              <w:rPr>
                <w:rFonts w:eastAsia="Calibri"/>
              </w:rPr>
              <w:t>2017г.</w:t>
            </w:r>
          </w:p>
        </w:tc>
      </w:tr>
      <w:tr w:rsidR="00DD4CC2" w:rsidRPr="0092212F" w14:paraId="6928C185" w14:textId="77777777" w:rsidTr="00DD4CC2">
        <w:trPr>
          <w:trHeight w:val="842"/>
        </w:trPr>
        <w:tc>
          <w:tcPr>
            <w:tcW w:w="0" w:type="auto"/>
            <w:vAlign w:val="center"/>
          </w:tcPr>
          <w:p w14:paraId="5E21460B" w14:textId="77777777" w:rsidR="00DD4CC2" w:rsidRPr="0092212F" w:rsidRDefault="00DD4CC2" w:rsidP="0092212F">
            <w:pPr>
              <w:pStyle w:val="a4"/>
            </w:pPr>
            <w:r w:rsidRPr="0092212F"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0" w:type="auto"/>
            <w:vAlign w:val="center"/>
          </w:tcPr>
          <w:p w14:paraId="3D88F5C7" w14:textId="77777777" w:rsidR="00DD4CC2" w:rsidRPr="0092212F" w:rsidRDefault="00DD4CC2" w:rsidP="0092212F">
            <w:pPr>
              <w:pStyle w:val="a4"/>
              <w:rPr>
                <w:rFonts w:eastAsia="Calibri"/>
              </w:rPr>
            </w:pPr>
            <w:r w:rsidRPr="0092212F">
              <w:t>89,5</w:t>
            </w:r>
          </w:p>
        </w:tc>
        <w:tc>
          <w:tcPr>
            <w:tcW w:w="0" w:type="auto"/>
            <w:vAlign w:val="center"/>
          </w:tcPr>
          <w:p w14:paraId="4A49AEB5" w14:textId="77777777" w:rsidR="00DD4CC2" w:rsidRPr="0092212F" w:rsidRDefault="00DD4CC2" w:rsidP="0092212F">
            <w:pPr>
              <w:pStyle w:val="a4"/>
              <w:rPr>
                <w:rFonts w:eastAsia="Calibri"/>
              </w:rPr>
            </w:pPr>
            <w:r w:rsidRPr="0092212F">
              <w:t>82,3</w:t>
            </w:r>
          </w:p>
        </w:tc>
        <w:tc>
          <w:tcPr>
            <w:tcW w:w="0" w:type="auto"/>
            <w:vAlign w:val="center"/>
          </w:tcPr>
          <w:p w14:paraId="07C02050" w14:textId="77777777" w:rsidR="00DD4CC2" w:rsidRPr="0092212F" w:rsidRDefault="00DD4CC2" w:rsidP="0092212F">
            <w:pPr>
              <w:pStyle w:val="a4"/>
            </w:pPr>
            <w:r w:rsidRPr="0092212F">
              <w:t>179,2</w:t>
            </w:r>
          </w:p>
        </w:tc>
        <w:tc>
          <w:tcPr>
            <w:tcW w:w="0" w:type="auto"/>
            <w:vAlign w:val="center"/>
          </w:tcPr>
          <w:p w14:paraId="70A44645" w14:textId="77777777" w:rsidR="00DD4CC2" w:rsidRPr="0092212F" w:rsidRDefault="00DD4CC2" w:rsidP="0092212F">
            <w:pPr>
              <w:pStyle w:val="a4"/>
              <w:rPr>
                <w:rFonts w:eastAsia="Calibri"/>
              </w:rPr>
            </w:pPr>
            <w:r w:rsidRPr="0092212F">
              <w:t>133,4</w:t>
            </w:r>
          </w:p>
        </w:tc>
      </w:tr>
      <w:tr w:rsidR="00DD4CC2" w:rsidRPr="0092212F" w14:paraId="368E810F" w14:textId="77777777" w:rsidTr="00DD4CC2">
        <w:tc>
          <w:tcPr>
            <w:tcW w:w="0" w:type="auto"/>
            <w:vAlign w:val="center"/>
          </w:tcPr>
          <w:p w14:paraId="5B950047" w14:textId="77777777" w:rsidR="00DD4CC2" w:rsidRPr="0092212F" w:rsidRDefault="00DD4CC2" w:rsidP="0092212F">
            <w:pPr>
              <w:pStyle w:val="a4"/>
              <w:rPr>
                <w:rFonts w:eastAsia="Calibri"/>
              </w:rPr>
            </w:pPr>
            <w:r w:rsidRPr="0092212F">
              <w:t>Производство машин и оборудования</w:t>
            </w:r>
          </w:p>
        </w:tc>
        <w:tc>
          <w:tcPr>
            <w:tcW w:w="0" w:type="auto"/>
            <w:vAlign w:val="center"/>
          </w:tcPr>
          <w:p w14:paraId="7E389262" w14:textId="77777777" w:rsidR="00DD4CC2" w:rsidRPr="0092212F" w:rsidRDefault="00DD4CC2" w:rsidP="0092212F">
            <w:pPr>
              <w:pStyle w:val="a4"/>
              <w:rPr>
                <w:rFonts w:eastAsia="Calibri"/>
              </w:rPr>
            </w:pPr>
            <w:r w:rsidRPr="0092212F">
              <w:t>83,2</w:t>
            </w:r>
          </w:p>
        </w:tc>
        <w:tc>
          <w:tcPr>
            <w:tcW w:w="0" w:type="auto"/>
            <w:vAlign w:val="center"/>
          </w:tcPr>
          <w:p w14:paraId="5B54BDB3" w14:textId="77777777" w:rsidR="00DD4CC2" w:rsidRPr="0092212F" w:rsidRDefault="00DD4CC2" w:rsidP="0092212F">
            <w:pPr>
              <w:pStyle w:val="a4"/>
              <w:rPr>
                <w:rFonts w:eastAsia="Calibri"/>
              </w:rPr>
            </w:pPr>
            <w:r w:rsidRPr="0092212F">
              <w:t>88,1</w:t>
            </w:r>
          </w:p>
        </w:tc>
        <w:tc>
          <w:tcPr>
            <w:tcW w:w="0" w:type="auto"/>
            <w:vAlign w:val="center"/>
          </w:tcPr>
          <w:p w14:paraId="5CFE5EDB" w14:textId="77777777" w:rsidR="00DD4CC2" w:rsidRPr="0092212F" w:rsidRDefault="00DD4CC2" w:rsidP="0092212F">
            <w:pPr>
              <w:pStyle w:val="a4"/>
              <w:rPr>
                <w:rFonts w:eastAsia="Calibri"/>
              </w:rPr>
            </w:pPr>
            <w:r w:rsidRPr="0092212F">
              <w:t>94,3</w:t>
            </w:r>
          </w:p>
        </w:tc>
        <w:tc>
          <w:tcPr>
            <w:tcW w:w="0" w:type="auto"/>
            <w:vAlign w:val="center"/>
          </w:tcPr>
          <w:p w14:paraId="2589E7CE" w14:textId="77777777" w:rsidR="00DD4CC2" w:rsidRPr="0092212F" w:rsidRDefault="00DD4CC2" w:rsidP="0092212F">
            <w:pPr>
              <w:pStyle w:val="a4"/>
              <w:rPr>
                <w:rFonts w:eastAsia="Calibri"/>
              </w:rPr>
            </w:pPr>
            <w:r w:rsidRPr="0092212F">
              <w:t>94,6</w:t>
            </w:r>
          </w:p>
        </w:tc>
      </w:tr>
      <w:tr w:rsidR="00DD4CC2" w:rsidRPr="0092212F" w14:paraId="06B8A091" w14:textId="77777777" w:rsidTr="00DD4CC2">
        <w:tc>
          <w:tcPr>
            <w:tcW w:w="0" w:type="auto"/>
            <w:vAlign w:val="center"/>
          </w:tcPr>
          <w:p w14:paraId="13F9F145" w14:textId="77777777" w:rsidR="00DD4CC2" w:rsidRPr="0092212F" w:rsidRDefault="00DD4CC2" w:rsidP="0092212F">
            <w:pPr>
              <w:pStyle w:val="a4"/>
              <w:rPr>
                <w:rFonts w:eastAsia="Calibri"/>
              </w:rPr>
            </w:pPr>
            <w:r w:rsidRPr="0092212F">
              <w:t>Производство электрооборудования, электронного и оптического оборудования</w:t>
            </w:r>
          </w:p>
        </w:tc>
        <w:tc>
          <w:tcPr>
            <w:tcW w:w="0" w:type="auto"/>
            <w:vAlign w:val="center"/>
          </w:tcPr>
          <w:p w14:paraId="76A9AF37" w14:textId="77777777" w:rsidR="00DD4CC2" w:rsidRPr="0092212F" w:rsidRDefault="00DD4CC2" w:rsidP="0092212F">
            <w:pPr>
              <w:pStyle w:val="a4"/>
              <w:rPr>
                <w:rFonts w:eastAsia="Calibri"/>
              </w:rPr>
            </w:pPr>
            <w:r w:rsidRPr="0092212F">
              <w:t>142,2</w:t>
            </w:r>
          </w:p>
        </w:tc>
        <w:tc>
          <w:tcPr>
            <w:tcW w:w="0" w:type="auto"/>
            <w:vAlign w:val="center"/>
          </w:tcPr>
          <w:p w14:paraId="66B3D84D" w14:textId="77777777" w:rsidR="00DD4CC2" w:rsidRPr="0092212F" w:rsidRDefault="00DD4CC2" w:rsidP="0092212F">
            <w:pPr>
              <w:pStyle w:val="a4"/>
              <w:rPr>
                <w:rFonts w:eastAsia="Calibri"/>
              </w:rPr>
            </w:pPr>
            <w:r w:rsidRPr="0092212F">
              <w:t>124,5</w:t>
            </w:r>
          </w:p>
        </w:tc>
        <w:tc>
          <w:tcPr>
            <w:tcW w:w="0" w:type="auto"/>
            <w:vAlign w:val="center"/>
          </w:tcPr>
          <w:p w14:paraId="1C7DDD9D" w14:textId="77777777" w:rsidR="00DD4CC2" w:rsidRPr="0092212F" w:rsidRDefault="00DD4CC2" w:rsidP="0092212F">
            <w:pPr>
              <w:pStyle w:val="a4"/>
              <w:rPr>
                <w:rFonts w:eastAsia="Calibri"/>
              </w:rPr>
            </w:pPr>
            <w:r w:rsidRPr="0092212F">
              <w:t>88,4</w:t>
            </w:r>
          </w:p>
        </w:tc>
        <w:tc>
          <w:tcPr>
            <w:tcW w:w="0" w:type="auto"/>
            <w:vAlign w:val="center"/>
          </w:tcPr>
          <w:p w14:paraId="23AB8922" w14:textId="77777777" w:rsidR="00DD4CC2" w:rsidRPr="0092212F" w:rsidRDefault="00DD4CC2" w:rsidP="0092212F">
            <w:pPr>
              <w:pStyle w:val="a4"/>
              <w:rPr>
                <w:rFonts w:eastAsia="Calibri"/>
              </w:rPr>
            </w:pPr>
            <w:r w:rsidRPr="0092212F">
              <w:t>117,4</w:t>
            </w:r>
          </w:p>
        </w:tc>
      </w:tr>
      <w:tr w:rsidR="00DD4CC2" w:rsidRPr="0092212F" w14:paraId="71FB5D96" w14:textId="77777777" w:rsidTr="00DD4CC2">
        <w:trPr>
          <w:trHeight w:val="469"/>
        </w:trPr>
        <w:tc>
          <w:tcPr>
            <w:tcW w:w="0" w:type="auto"/>
            <w:vAlign w:val="center"/>
          </w:tcPr>
          <w:p w14:paraId="73F48B87" w14:textId="77777777" w:rsidR="00DD4CC2" w:rsidRPr="0092212F" w:rsidRDefault="00DD4CC2" w:rsidP="0092212F">
            <w:pPr>
              <w:pStyle w:val="a4"/>
              <w:rPr>
                <w:rFonts w:eastAsia="Calibri"/>
              </w:rPr>
            </w:pPr>
            <w:r w:rsidRPr="0092212F">
              <w:t>Производство транспортных средств и оборудования</w:t>
            </w:r>
          </w:p>
        </w:tc>
        <w:tc>
          <w:tcPr>
            <w:tcW w:w="0" w:type="auto"/>
            <w:vAlign w:val="center"/>
          </w:tcPr>
          <w:p w14:paraId="0799A45F" w14:textId="77777777" w:rsidR="00DD4CC2" w:rsidRPr="0092212F" w:rsidRDefault="00DD4CC2" w:rsidP="0092212F">
            <w:pPr>
              <w:pStyle w:val="a4"/>
              <w:rPr>
                <w:rFonts w:eastAsia="Calibri"/>
              </w:rPr>
            </w:pPr>
            <w:r w:rsidRPr="0092212F">
              <w:t>96,6</w:t>
            </w:r>
          </w:p>
        </w:tc>
        <w:tc>
          <w:tcPr>
            <w:tcW w:w="0" w:type="auto"/>
            <w:vAlign w:val="center"/>
          </w:tcPr>
          <w:p w14:paraId="2C437A66" w14:textId="77777777" w:rsidR="00DD4CC2" w:rsidRPr="0092212F" w:rsidRDefault="00DD4CC2" w:rsidP="0092212F">
            <w:pPr>
              <w:pStyle w:val="a4"/>
              <w:rPr>
                <w:rFonts w:eastAsia="Calibri"/>
              </w:rPr>
            </w:pPr>
            <w:r w:rsidRPr="0092212F">
              <w:t>72,4</w:t>
            </w:r>
          </w:p>
        </w:tc>
        <w:tc>
          <w:tcPr>
            <w:tcW w:w="0" w:type="auto"/>
            <w:vAlign w:val="center"/>
          </w:tcPr>
          <w:p w14:paraId="33BB6323" w14:textId="77777777" w:rsidR="00DD4CC2" w:rsidRPr="0092212F" w:rsidRDefault="00DD4CC2" w:rsidP="0092212F">
            <w:pPr>
              <w:pStyle w:val="a4"/>
              <w:rPr>
                <w:rFonts w:eastAsia="Calibri"/>
              </w:rPr>
            </w:pPr>
            <w:r w:rsidRPr="0092212F">
              <w:t>103,4</w:t>
            </w:r>
          </w:p>
        </w:tc>
        <w:tc>
          <w:tcPr>
            <w:tcW w:w="0" w:type="auto"/>
            <w:vAlign w:val="center"/>
          </w:tcPr>
          <w:p w14:paraId="36D70584" w14:textId="77777777" w:rsidR="00DD4CC2" w:rsidRPr="0092212F" w:rsidRDefault="00DD4CC2" w:rsidP="0092212F">
            <w:pPr>
              <w:pStyle w:val="a4"/>
              <w:rPr>
                <w:rFonts w:eastAsia="Calibri"/>
              </w:rPr>
            </w:pPr>
            <w:r w:rsidRPr="0092212F">
              <w:t>117,4</w:t>
            </w:r>
          </w:p>
        </w:tc>
      </w:tr>
      <w:tr w:rsidR="00DD4CC2" w:rsidRPr="0092212F" w14:paraId="78D07998" w14:textId="77777777" w:rsidTr="00DD4CC2">
        <w:trPr>
          <w:trHeight w:val="468"/>
        </w:trPr>
        <w:tc>
          <w:tcPr>
            <w:tcW w:w="0" w:type="auto"/>
            <w:vAlign w:val="center"/>
          </w:tcPr>
          <w:p w14:paraId="53422C04" w14:textId="77777777" w:rsidR="00DD4CC2" w:rsidRPr="0092212F" w:rsidRDefault="00DD4CC2" w:rsidP="0092212F">
            <w:pPr>
              <w:pStyle w:val="a4"/>
            </w:pPr>
            <w:r w:rsidRPr="0092212F">
              <w:t>Химическое производство</w:t>
            </w:r>
          </w:p>
        </w:tc>
        <w:tc>
          <w:tcPr>
            <w:tcW w:w="0" w:type="auto"/>
            <w:vAlign w:val="center"/>
          </w:tcPr>
          <w:p w14:paraId="2C9F7E48" w14:textId="77777777" w:rsidR="00DD4CC2" w:rsidRPr="0092212F" w:rsidRDefault="00DD4CC2" w:rsidP="0092212F">
            <w:pPr>
              <w:pStyle w:val="a4"/>
              <w:rPr>
                <w:rFonts w:eastAsia="Calibri"/>
              </w:rPr>
            </w:pPr>
            <w:r w:rsidRPr="0092212F">
              <w:t>115,6</w:t>
            </w:r>
          </w:p>
        </w:tc>
        <w:tc>
          <w:tcPr>
            <w:tcW w:w="0" w:type="auto"/>
            <w:vAlign w:val="center"/>
          </w:tcPr>
          <w:p w14:paraId="7DBC480D" w14:textId="77777777" w:rsidR="00DD4CC2" w:rsidRPr="0092212F" w:rsidRDefault="00DD4CC2" w:rsidP="0092212F">
            <w:pPr>
              <w:pStyle w:val="a4"/>
              <w:rPr>
                <w:rFonts w:eastAsia="Calibri"/>
              </w:rPr>
            </w:pPr>
            <w:r w:rsidRPr="0092212F">
              <w:t>93,6</w:t>
            </w:r>
          </w:p>
        </w:tc>
        <w:tc>
          <w:tcPr>
            <w:tcW w:w="0" w:type="auto"/>
            <w:vAlign w:val="center"/>
          </w:tcPr>
          <w:p w14:paraId="3B2507E5" w14:textId="77777777" w:rsidR="00DD4CC2" w:rsidRPr="0092212F" w:rsidRDefault="00DD4CC2" w:rsidP="0092212F">
            <w:pPr>
              <w:pStyle w:val="a4"/>
              <w:rPr>
                <w:rFonts w:eastAsia="Calibri"/>
              </w:rPr>
            </w:pPr>
            <w:r w:rsidRPr="0092212F">
              <w:t>105,4</w:t>
            </w:r>
          </w:p>
        </w:tc>
        <w:tc>
          <w:tcPr>
            <w:tcW w:w="0" w:type="auto"/>
            <w:vAlign w:val="center"/>
          </w:tcPr>
          <w:p w14:paraId="16ACA8B2" w14:textId="77777777" w:rsidR="00DD4CC2" w:rsidRPr="0092212F" w:rsidRDefault="00DD4CC2" w:rsidP="0092212F">
            <w:pPr>
              <w:pStyle w:val="a4"/>
              <w:rPr>
                <w:rFonts w:eastAsia="Calibri"/>
              </w:rPr>
            </w:pPr>
            <w:r w:rsidRPr="0092212F">
              <w:t>113,2</w:t>
            </w:r>
          </w:p>
        </w:tc>
      </w:tr>
    </w:tbl>
    <w:p w14:paraId="70D5C09D" w14:textId="77777777" w:rsidR="006C0FBC" w:rsidRPr="0092212F" w:rsidRDefault="001B4B32" w:rsidP="0092212F">
      <w:pPr>
        <w:ind w:firstLine="708"/>
        <w:jc w:val="both"/>
        <w:rPr>
          <w:rFonts w:eastAsia="Calibri"/>
        </w:rPr>
      </w:pPr>
      <w:r w:rsidRPr="0092212F">
        <w:rPr>
          <w:rFonts w:eastAsia="Calibri"/>
        </w:rPr>
        <w:t>Из</w:t>
      </w:r>
      <w:r w:rsidR="008C2AFA" w:rsidRPr="0092212F">
        <w:rPr>
          <w:rFonts w:eastAsia="Calibri"/>
        </w:rPr>
        <w:t xml:space="preserve"> </w:t>
      </w:r>
      <w:r w:rsidR="00F919BB" w:rsidRPr="0092212F">
        <w:rPr>
          <w:rFonts w:eastAsia="Calibri"/>
        </w:rPr>
        <w:t>таблиц</w:t>
      </w:r>
      <w:r w:rsidRPr="0092212F">
        <w:rPr>
          <w:rFonts w:eastAsia="Calibri"/>
        </w:rPr>
        <w:t>ы</w:t>
      </w:r>
      <w:r w:rsidR="00F919BB" w:rsidRPr="0092212F">
        <w:rPr>
          <w:rFonts w:eastAsia="Calibri"/>
        </w:rPr>
        <w:t xml:space="preserve"> 1</w:t>
      </w:r>
      <w:r w:rsidRPr="0092212F">
        <w:rPr>
          <w:rFonts w:eastAsia="Calibri"/>
        </w:rPr>
        <w:t xml:space="preserve"> видно</w:t>
      </w:r>
      <w:r w:rsidR="00F919BB" w:rsidRPr="0092212F">
        <w:rPr>
          <w:rFonts w:eastAsia="Calibri"/>
        </w:rPr>
        <w:t xml:space="preserve">, что в Тамбовской области очевиден рост производства </w:t>
      </w:r>
      <w:r w:rsidRPr="0092212F">
        <w:rPr>
          <w:rFonts w:eastAsia="Calibri"/>
        </w:rPr>
        <w:t xml:space="preserve">металлических изделий, что неизбежно влечет за собой рост числа </w:t>
      </w:r>
      <w:r w:rsidR="00F919BB" w:rsidRPr="0092212F">
        <w:rPr>
          <w:rFonts w:eastAsia="Calibri"/>
        </w:rPr>
        <w:t>гальванических операций.</w:t>
      </w:r>
      <w:r w:rsidR="00EB77DC" w:rsidRPr="0092212F">
        <w:rPr>
          <w:rFonts w:eastAsia="Calibri"/>
        </w:rPr>
        <w:t xml:space="preserve"> </w:t>
      </w:r>
    </w:p>
    <w:p w14:paraId="534B45BD" w14:textId="77777777" w:rsidR="006C0FBC" w:rsidRPr="0092212F" w:rsidRDefault="006C0FBC" w:rsidP="0092212F">
      <w:pPr>
        <w:ind w:firstLine="708"/>
        <w:jc w:val="both"/>
        <w:rPr>
          <w:rFonts w:eastAsia="Calibri"/>
          <w:lang w:eastAsia="en-US"/>
        </w:rPr>
      </w:pPr>
      <w:r w:rsidRPr="0092212F">
        <w:rPr>
          <w:rFonts w:eastAsia="Calibri"/>
        </w:rPr>
        <w:t>Использование гальванических операций приводит к образованию сточных вод, загрязненных тяжелыми металлами. Классическая технология очистки таких сточных вод сводится к осаждению</w:t>
      </w:r>
      <w:r w:rsidRPr="0092212F">
        <w:rPr>
          <w:rFonts w:eastAsia="Calibri"/>
          <w:lang w:eastAsia="en-US"/>
        </w:rPr>
        <w:t xml:space="preserve"> катионов тяжелых металлов (железо, хром, никель, цинк, медь и др.) известковым молоком, например, по реакции: </w:t>
      </w:r>
    </w:p>
    <w:p w14:paraId="09BF437F" w14:textId="77777777" w:rsidR="006C0FBC" w:rsidRPr="0092212F" w:rsidRDefault="006C0FBC" w:rsidP="0092212F">
      <w:pPr>
        <w:jc w:val="center"/>
        <w:rPr>
          <w:rFonts w:eastAsia="Calibri"/>
          <w:lang w:eastAsia="en-US"/>
        </w:rPr>
      </w:pPr>
      <w:r w:rsidRPr="0092212F">
        <w:rPr>
          <w:rFonts w:eastAsia="Calibri"/>
          <w:lang w:eastAsia="en-US"/>
        </w:rPr>
        <w:t>Fe</w:t>
      </w:r>
      <w:r w:rsidRPr="0092212F">
        <w:rPr>
          <w:rFonts w:eastAsia="Calibri"/>
          <w:vertAlign w:val="superscript"/>
          <w:lang w:eastAsia="en-US"/>
        </w:rPr>
        <w:t>3+</w:t>
      </w:r>
      <w:r w:rsidRPr="0092212F">
        <w:rPr>
          <w:rFonts w:eastAsia="Calibri"/>
          <w:lang w:eastAsia="en-US"/>
        </w:rPr>
        <w:t xml:space="preserve"> + 3OH</w:t>
      </w:r>
      <w:r w:rsidRPr="0092212F">
        <w:rPr>
          <w:rFonts w:eastAsia="Calibri"/>
          <w:vertAlign w:val="superscript"/>
          <w:lang w:eastAsia="en-US"/>
        </w:rPr>
        <w:t xml:space="preserve">– </w:t>
      </w:r>
      <w:r w:rsidRPr="0092212F">
        <w:rPr>
          <w:rFonts w:eastAsia="Calibri"/>
          <w:lang w:eastAsia="en-US"/>
        </w:rPr>
        <w:t xml:space="preserve">→ </w:t>
      </w:r>
      <w:proofErr w:type="spellStart"/>
      <w:proofErr w:type="gramStart"/>
      <w:r w:rsidRPr="0092212F">
        <w:rPr>
          <w:rFonts w:eastAsia="Calibri"/>
          <w:lang w:eastAsia="en-US"/>
        </w:rPr>
        <w:t>Fe</w:t>
      </w:r>
      <w:proofErr w:type="spellEnd"/>
      <w:r w:rsidRPr="0092212F">
        <w:rPr>
          <w:rFonts w:eastAsia="Calibri"/>
          <w:lang w:eastAsia="en-US"/>
        </w:rPr>
        <w:t>(</w:t>
      </w:r>
      <w:proofErr w:type="gramEnd"/>
      <w:r w:rsidRPr="0092212F">
        <w:rPr>
          <w:rFonts w:eastAsia="Calibri"/>
          <w:lang w:eastAsia="en-US"/>
        </w:rPr>
        <w:t>OH)</w:t>
      </w:r>
      <w:r w:rsidRPr="0092212F">
        <w:rPr>
          <w:rFonts w:eastAsia="Calibri"/>
          <w:vertAlign w:val="superscript"/>
          <w:lang w:eastAsia="en-US"/>
        </w:rPr>
        <w:t>3</w:t>
      </w:r>
      <w:r w:rsidRPr="0092212F">
        <w:rPr>
          <w:rFonts w:eastAsia="Calibri"/>
          <w:lang w:eastAsia="en-US"/>
        </w:rPr>
        <w:t>↓ Cr</w:t>
      </w:r>
      <w:r w:rsidRPr="0092212F">
        <w:rPr>
          <w:rFonts w:eastAsia="Calibri"/>
          <w:vertAlign w:val="superscript"/>
          <w:lang w:eastAsia="en-US"/>
        </w:rPr>
        <w:t>3+</w:t>
      </w:r>
      <w:r w:rsidRPr="0092212F">
        <w:rPr>
          <w:rFonts w:eastAsia="Calibri"/>
          <w:lang w:eastAsia="en-US"/>
        </w:rPr>
        <w:t xml:space="preserve"> + 3OH</w:t>
      </w:r>
      <w:r w:rsidRPr="0092212F">
        <w:rPr>
          <w:rFonts w:eastAsia="Calibri"/>
          <w:vertAlign w:val="superscript"/>
          <w:lang w:eastAsia="en-US"/>
        </w:rPr>
        <w:t>–</w:t>
      </w:r>
      <w:r w:rsidRPr="0092212F">
        <w:rPr>
          <w:rFonts w:eastAsia="Calibri"/>
          <w:lang w:eastAsia="en-US"/>
        </w:rPr>
        <w:t xml:space="preserve"> → </w:t>
      </w:r>
      <w:proofErr w:type="spellStart"/>
      <w:r w:rsidRPr="0092212F">
        <w:rPr>
          <w:rFonts w:eastAsia="Calibri"/>
          <w:lang w:eastAsia="en-US"/>
        </w:rPr>
        <w:t>Cr</w:t>
      </w:r>
      <w:proofErr w:type="spellEnd"/>
      <w:r w:rsidRPr="0092212F">
        <w:rPr>
          <w:rFonts w:eastAsia="Calibri"/>
          <w:lang w:eastAsia="en-US"/>
        </w:rPr>
        <w:t>(OH)</w:t>
      </w:r>
      <w:r w:rsidRPr="0092212F">
        <w:rPr>
          <w:rFonts w:eastAsia="Calibri"/>
          <w:vertAlign w:val="superscript"/>
          <w:lang w:eastAsia="en-US"/>
        </w:rPr>
        <w:t>3</w:t>
      </w:r>
      <w:r w:rsidRPr="0092212F">
        <w:rPr>
          <w:rFonts w:eastAsia="Calibri"/>
          <w:lang w:eastAsia="en-US"/>
        </w:rPr>
        <w:t>↓ Ni</w:t>
      </w:r>
      <w:r w:rsidRPr="0092212F">
        <w:rPr>
          <w:rFonts w:eastAsia="Calibri"/>
          <w:vertAlign w:val="superscript"/>
          <w:lang w:eastAsia="en-US"/>
        </w:rPr>
        <w:t>2+</w:t>
      </w:r>
      <w:r w:rsidRPr="0092212F">
        <w:rPr>
          <w:rFonts w:eastAsia="Calibri"/>
          <w:lang w:eastAsia="en-US"/>
        </w:rPr>
        <w:t xml:space="preserve"> + 2OH</w:t>
      </w:r>
      <w:r w:rsidRPr="0092212F">
        <w:rPr>
          <w:rFonts w:eastAsia="Calibri"/>
          <w:vertAlign w:val="superscript"/>
          <w:lang w:eastAsia="en-US"/>
        </w:rPr>
        <w:t>–</w:t>
      </w:r>
      <w:r w:rsidRPr="0092212F">
        <w:rPr>
          <w:rFonts w:eastAsia="Calibri"/>
          <w:lang w:eastAsia="en-US"/>
        </w:rPr>
        <w:t xml:space="preserve"> → </w:t>
      </w:r>
      <w:proofErr w:type="spellStart"/>
      <w:r w:rsidRPr="0092212F">
        <w:rPr>
          <w:rFonts w:eastAsia="Calibri"/>
          <w:lang w:eastAsia="en-US"/>
        </w:rPr>
        <w:t>Ni</w:t>
      </w:r>
      <w:proofErr w:type="spellEnd"/>
      <w:r w:rsidRPr="0092212F">
        <w:rPr>
          <w:rFonts w:eastAsia="Calibri"/>
          <w:lang w:eastAsia="en-US"/>
        </w:rPr>
        <w:t>(OH)</w:t>
      </w:r>
      <w:r w:rsidRPr="0092212F">
        <w:rPr>
          <w:rFonts w:eastAsia="Calibri"/>
          <w:vertAlign w:val="superscript"/>
          <w:lang w:eastAsia="en-US"/>
        </w:rPr>
        <w:t>2</w:t>
      </w:r>
      <w:r w:rsidRPr="0092212F">
        <w:rPr>
          <w:rFonts w:eastAsia="Calibri"/>
          <w:lang w:eastAsia="en-US"/>
        </w:rPr>
        <w:t>↓.</w:t>
      </w:r>
    </w:p>
    <w:p w14:paraId="098D1ED4" w14:textId="77777777" w:rsidR="006C0FBC" w:rsidRPr="0092212F" w:rsidRDefault="006C0FBC" w:rsidP="0092212F">
      <w:pPr>
        <w:ind w:firstLine="708"/>
        <w:jc w:val="both"/>
        <w:rPr>
          <w:rFonts w:eastAsia="Calibri"/>
          <w:lang w:eastAsia="en-US"/>
        </w:rPr>
      </w:pPr>
      <w:r w:rsidRPr="0092212F">
        <w:rPr>
          <w:rFonts w:eastAsia="Calibri"/>
          <w:lang w:eastAsia="en-US"/>
        </w:rPr>
        <w:t xml:space="preserve">Добавки </w:t>
      </w:r>
      <w:proofErr w:type="spellStart"/>
      <w:r w:rsidRPr="0092212F">
        <w:rPr>
          <w:rFonts w:eastAsia="Calibri"/>
          <w:lang w:eastAsia="en-US"/>
        </w:rPr>
        <w:t>флокулянта</w:t>
      </w:r>
      <w:proofErr w:type="spellEnd"/>
      <w:r w:rsidRPr="0092212F">
        <w:rPr>
          <w:rFonts w:eastAsia="Calibri"/>
          <w:lang w:eastAsia="en-US"/>
        </w:rPr>
        <w:t xml:space="preserve"> (</w:t>
      </w:r>
      <w:proofErr w:type="spellStart"/>
      <w:r w:rsidRPr="0092212F">
        <w:rPr>
          <w:rFonts w:eastAsia="Calibri"/>
          <w:lang w:eastAsia="en-US"/>
        </w:rPr>
        <w:t>полиакриламид</w:t>
      </w:r>
      <w:proofErr w:type="spellEnd"/>
      <w:r w:rsidRPr="0092212F">
        <w:rPr>
          <w:rFonts w:eastAsia="Calibri"/>
          <w:lang w:eastAsia="en-US"/>
        </w:rPr>
        <w:t>) способствуют образованию рыхлых хлопьев гидроксидов, которые затем при отстаивании формируют объемистые осадки. Они, в свою очередь, подлежат утилизации. В случае очистки хромсодержащих сточных вод присутствует также стадия восстановления шестивалентного хрома в кислой среде до трехвалентного.</w:t>
      </w:r>
    </w:p>
    <w:p w14:paraId="05E46DA1" w14:textId="77777777" w:rsidR="00887783" w:rsidRPr="0092212F" w:rsidRDefault="001B4B32" w:rsidP="0092212F">
      <w:pPr>
        <w:ind w:firstLine="708"/>
        <w:jc w:val="both"/>
        <w:rPr>
          <w:rFonts w:eastAsia="Calibri"/>
        </w:rPr>
      </w:pPr>
      <w:r w:rsidRPr="0092212F">
        <w:rPr>
          <w:rFonts w:eastAsia="Calibri"/>
        </w:rPr>
        <w:t>Р</w:t>
      </w:r>
      <w:r w:rsidR="00F919BB" w:rsidRPr="0092212F">
        <w:rPr>
          <w:rFonts w:eastAsia="Calibri"/>
        </w:rPr>
        <w:t>ассмотрим некоторые предприятия</w:t>
      </w:r>
      <w:r w:rsidRPr="0092212F">
        <w:rPr>
          <w:rFonts w:eastAsia="Calibri"/>
        </w:rPr>
        <w:t xml:space="preserve"> Тамбовской области</w:t>
      </w:r>
      <w:r w:rsidR="00F919BB" w:rsidRPr="0092212F">
        <w:rPr>
          <w:rFonts w:eastAsia="Calibri"/>
        </w:rPr>
        <w:t>, у которых имеются очистные сооружения для</w:t>
      </w:r>
      <w:r w:rsidR="00EB77DC" w:rsidRPr="0092212F">
        <w:rPr>
          <w:rFonts w:eastAsia="Calibri"/>
        </w:rPr>
        <w:t xml:space="preserve"> очистки гальванических стоков.</w:t>
      </w:r>
    </w:p>
    <w:p w14:paraId="274E7F53" w14:textId="77777777" w:rsidR="00A624B6" w:rsidRPr="0092212F" w:rsidRDefault="006C0FBC" w:rsidP="0092212F">
      <w:pPr>
        <w:ind w:firstLine="708"/>
        <w:jc w:val="both"/>
        <w:rPr>
          <w:rFonts w:eastAsia="Calibri"/>
          <w:lang w:eastAsia="en-US"/>
        </w:rPr>
      </w:pPr>
      <w:r w:rsidRPr="0092212F">
        <w:rPr>
          <w:rFonts w:eastAsia="Calibri"/>
        </w:rPr>
        <w:t xml:space="preserve"> </w:t>
      </w:r>
      <w:r w:rsidR="00A624B6" w:rsidRPr="0092212F">
        <w:rPr>
          <w:rFonts w:eastAsia="Calibri"/>
          <w:lang w:eastAsia="en-US"/>
        </w:rPr>
        <w:t xml:space="preserve">Производственные мощности завода </w:t>
      </w:r>
      <w:r w:rsidR="00EB77DC" w:rsidRPr="0092212F">
        <w:rPr>
          <w:rFonts w:eastAsia="Calibri"/>
          <w:lang w:eastAsia="en-US"/>
        </w:rPr>
        <w:t>АО «Тамбовский завод «Октябрь» включают в себя</w:t>
      </w:r>
      <w:r w:rsidR="00A624B6" w:rsidRPr="0092212F">
        <w:rPr>
          <w:rFonts w:eastAsia="Calibri"/>
          <w:lang w:eastAsia="en-US"/>
        </w:rPr>
        <w:t xml:space="preserve"> механический, слесарно-каркасный, инструментальный, гальванический цеха, цех печатных плат и др.</w:t>
      </w:r>
      <w:r w:rsidR="00EB77DC" w:rsidRPr="0092212F">
        <w:rPr>
          <w:rFonts w:eastAsia="Calibri"/>
          <w:lang w:eastAsia="en-US"/>
        </w:rPr>
        <w:t xml:space="preserve"> </w:t>
      </w:r>
      <w:r w:rsidR="00A56C77" w:rsidRPr="0092212F">
        <w:rPr>
          <w:rFonts w:eastAsia="Calibri"/>
          <w:lang w:eastAsia="en-US"/>
        </w:rPr>
        <w:t>В 2012 г. была и</w:t>
      </w:r>
      <w:r w:rsidR="00A624B6" w:rsidRPr="0092212F">
        <w:rPr>
          <w:rFonts w:eastAsia="Calibri"/>
          <w:lang w:eastAsia="en-US"/>
        </w:rPr>
        <w:t xml:space="preserve">зучена эффективность очистки стоков гальванического цеха и цеха печатных плат на ОАО ТЗ «Октябрь» от катионов тяжелых металлов, попадающих в них в результате хромирования, </w:t>
      </w:r>
      <w:proofErr w:type="spellStart"/>
      <w:r w:rsidR="00A624B6" w:rsidRPr="0092212F">
        <w:rPr>
          <w:rFonts w:eastAsia="Calibri"/>
          <w:lang w:eastAsia="en-US"/>
        </w:rPr>
        <w:t>меднения</w:t>
      </w:r>
      <w:proofErr w:type="spellEnd"/>
      <w:r w:rsidR="00A624B6" w:rsidRPr="0092212F">
        <w:rPr>
          <w:rFonts w:eastAsia="Calibri"/>
          <w:lang w:eastAsia="en-US"/>
        </w:rPr>
        <w:t>, цинкования, никелирования, промывки или травления</w:t>
      </w:r>
      <w:r w:rsidR="00912542" w:rsidRPr="0092212F">
        <w:rPr>
          <w:rFonts w:eastAsia="Calibri"/>
          <w:lang w:eastAsia="en-US"/>
        </w:rPr>
        <w:t xml:space="preserve"> [</w:t>
      </w:r>
      <w:r w:rsidR="00110465" w:rsidRPr="0092212F">
        <w:rPr>
          <w:rFonts w:eastAsia="Calibri"/>
          <w:lang w:eastAsia="en-US"/>
        </w:rPr>
        <w:t>2</w:t>
      </w:r>
      <w:r w:rsidR="00912542" w:rsidRPr="0092212F">
        <w:rPr>
          <w:rFonts w:eastAsia="Calibri"/>
          <w:lang w:eastAsia="en-US"/>
        </w:rPr>
        <w:t>]</w:t>
      </w:r>
      <w:r w:rsidR="00A624B6" w:rsidRPr="0092212F">
        <w:rPr>
          <w:rFonts w:eastAsia="Calibri"/>
          <w:lang w:eastAsia="en-US"/>
        </w:rPr>
        <w:t xml:space="preserve">. </w:t>
      </w:r>
    </w:p>
    <w:p w14:paraId="097751B9" w14:textId="77777777" w:rsidR="00A624B6" w:rsidRPr="0092212F" w:rsidRDefault="00A624B6" w:rsidP="0092212F">
      <w:pPr>
        <w:ind w:firstLine="708"/>
        <w:jc w:val="both"/>
        <w:rPr>
          <w:rFonts w:eastAsia="Calibri"/>
          <w:lang w:eastAsia="en-US"/>
        </w:rPr>
      </w:pPr>
      <w:r w:rsidRPr="0092212F">
        <w:rPr>
          <w:rFonts w:eastAsia="Calibri"/>
          <w:lang w:eastAsia="en-US"/>
        </w:rPr>
        <w:t xml:space="preserve">Для оценки эффективности работы очистных сооружений определяли содержание ионов никеля, хрома, меди, цинка, железа в сточных водах на входе и выходе из очистных сооружений. Выявлено, что концентрация ионов никеля на входе в очистные сооружения колеблется от 20 до 120 мг/л, не превышая, таким образом, ПДК = 120 мг/л. ПДК на входе в очистные сооружения определяются потому, что их </w:t>
      </w:r>
      <w:r w:rsidRPr="0092212F">
        <w:rPr>
          <w:rFonts w:eastAsia="Calibri"/>
          <w:lang w:eastAsia="en-US"/>
        </w:rPr>
        <w:lastRenderedPageBreak/>
        <w:t xml:space="preserve">превышение влечет снижение эффективности водоочистки. Далее образцы сточной воды из отстойника </w:t>
      </w:r>
      <w:r w:rsidR="005A3BF9" w:rsidRPr="0092212F">
        <w:rPr>
          <w:rFonts w:eastAsia="Calibri"/>
          <w:lang w:eastAsia="en-US"/>
        </w:rPr>
        <w:t xml:space="preserve">на выходе из очистных сооружений </w:t>
      </w:r>
      <w:r w:rsidRPr="0092212F">
        <w:rPr>
          <w:rFonts w:eastAsia="Calibri"/>
          <w:lang w:eastAsia="en-US"/>
        </w:rPr>
        <w:t>подвергали анализу для опред</w:t>
      </w:r>
      <w:r w:rsidR="00CD30A2" w:rsidRPr="0092212F">
        <w:rPr>
          <w:rFonts w:eastAsia="Calibri"/>
          <w:lang w:eastAsia="en-US"/>
        </w:rPr>
        <w:t>еления остаточной концентрации загрязнителя</w:t>
      </w:r>
      <w:r w:rsidRPr="0092212F">
        <w:rPr>
          <w:rFonts w:eastAsia="Calibri"/>
          <w:lang w:eastAsia="en-US"/>
        </w:rPr>
        <w:t>. Содержание ионов никеля достига</w:t>
      </w:r>
      <w:r w:rsidR="005A3BF9" w:rsidRPr="0092212F">
        <w:rPr>
          <w:rFonts w:eastAsia="Calibri"/>
          <w:lang w:eastAsia="en-US"/>
        </w:rPr>
        <w:t>ло величин</w:t>
      </w:r>
      <w:r w:rsidRPr="0092212F">
        <w:rPr>
          <w:rFonts w:eastAsia="Calibri"/>
          <w:lang w:eastAsia="en-US"/>
        </w:rPr>
        <w:t xml:space="preserve"> ПДК, что не исключает возможность попадания этого загрязнителя в </w:t>
      </w:r>
      <w:r w:rsidR="005A3BF9" w:rsidRPr="0092212F">
        <w:rPr>
          <w:rFonts w:eastAsia="Calibri"/>
          <w:lang w:eastAsia="en-US"/>
        </w:rPr>
        <w:t xml:space="preserve">окружающую </w:t>
      </w:r>
      <w:r w:rsidRPr="0092212F">
        <w:rPr>
          <w:rFonts w:eastAsia="Calibri"/>
          <w:lang w:eastAsia="en-US"/>
        </w:rPr>
        <w:t xml:space="preserve">среду на выходе из очистных сооружений в случае резкого увеличения количества </w:t>
      </w:r>
      <w:r w:rsidR="005A3BF9" w:rsidRPr="0092212F">
        <w:rPr>
          <w:rFonts w:eastAsia="Calibri"/>
          <w:lang w:eastAsia="en-US"/>
        </w:rPr>
        <w:t>гальванических операций</w:t>
      </w:r>
      <w:r w:rsidRPr="0092212F">
        <w:rPr>
          <w:rFonts w:eastAsia="Calibri"/>
          <w:lang w:eastAsia="en-US"/>
        </w:rPr>
        <w:t xml:space="preserve"> на предприятии.</w:t>
      </w:r>
    </w:p>
    <w:p w14:paraId="4186CD05" w14:textId="77777777" w:rsidR="00A624B6" w:rsidRPr="0092212F" w:rsidRDefault="00A624B6" w:rsidP="0092212F">
      <w:pPr>
        <w:ind w:firstLine="708"/>
        <w:jc w:val="both"/>
        <w:rPr>
          <w:rFonts w:eastAsia="Calibri"/>
          <w:lang w:eastAsia="en-US"/>
        </w:rPr>
      </w:pPr>
      <w:r w:rsidRPr="0092212F">
        <w:rPr>
          <w:rFonts w:eastAsia="Calibri"/>
          <w:lang w:eastAsia="en-US"/>
        </w:rPr>
        <w:t xml:space="preserve">Ионы меди попадают в сточные воды из гальванического цеха № 46 ОАО ТЗ </w:t>
      </w:r>
      <w:proofErr w:type="gramStart"/>
      <w:r w:rsidRPr="0092212F">
        <w:rPr>
          <w:rFonts w:eastAsia="Calibri"/>
          <w:lang w:eastAsia="en-US"/>
        </w:rPr>
        <w:t>«Октябрь»</w:t>
      </w:r>
      <w:proofErr w:type="gramEnd"/>
      <w:r w:rsidRPr="0092212F">
        <w:rPr>
          <w:rFonts w:eastAsia="Calibri"/>
          <w:lang w:eastAsia="en-US"/>
        </w:rPr>
        <w:t xml:space="preserve"> где производят </w:t>
      </w:r>
      <w:proofErr w:type="spellStart"/>
      <w:r w:rsidRPr="0092212F">
        <w:rPr>
          <w:rFonts w:eastAsia="Calibri"/>
          <w:lang w:eastAsia="en-US"/>
        </w:rPr>
        <w:t>меднение</w:t>
      </w:r>
      <w:proofErr w:type="spellEnd"/>
      <w:r w:rsidRPr="0092212F">
        <w:rPr>
          <w:rFonts w:eastAsia="Calibri"/>
          <w:lang w:eastAsia="en-US"/>
        </w:rPr>
        <w:t>. Очистка от катионов меди осуществляется посредством тех же приемов, что и от ионов никеля. Обращает на себя внимание тот факт, что, как и для катионов никеля, содержание меди после очистки нередко практически равно ПДК. Это тревожный сигнал о потенциально возможном загрязнении сбрасываемых в городскую канализацию стоков ОАО ТЗ «Октябрь», т.к. очистные сооружения работают на пределе мощности.</w:t>
      </w:r>
    </w:p>
    <w:p w14:paraId="6B74161A" w14:textId="77777777" w:rsidR="00A624B6" w:rsidRPr="0092212F" w:rsidRDefault="00A624B6" w:rsidP="0092212F">
      <w:pPr>
        <w:ind w:firstLine="708"/>
        <w:jc w:val="both"/>
        <w:rPr>
          <w:rFonts w:eastAsia="Calibri"/>
          <w:lang w:eastAsia="en-US"/>
        </w:rPr>
      </w:pPr>
      <w:r w:rsidRPr="0092212F">
        <w:rPr>
          <w:rFonts w:eastAsia="Calibri"/>
          <w:lang w:eastAsia="en-US"/>
        </w:rPr>
        <w:t xml:space="preserve">Цинкосодержащие стоки образуются в результате промывки деталей после цинкования комплектующих. </w:t>
      </w:r>
      <w:r w:rsidR="005A3BF9" w:rsidRPr="0092212F">
        <w:rPr>
          <w:rFonts w:eastAsia="Calibri"/>
          <w:lang w:eastAsia="en-US"/>
        </w:rPr>
        <w:t>С</w:t>
      </w:r>
      <w:r w:rsidRPr="0092212F">
        <w:rPr>
          <w:rFonts w:eastAsia="Calibri"/>
          <w:lang w:eastAsia="en-US"/>
        </w:rPr>
        <w:t xml:space="preserve">одержание цинка в стоках цеха № 46 на входе в очистные сооружения может существенно превышать ПДК, что осложняет процессы извлечения </w:t>
      </w:r>
      <w:proofErr w:type="spellStart"/>
      <w:r w:rsidRPr="0092212F">
        <w:rPr>
          <w:rFonts w:eastAsia="Calibri"/>
          <w:lang w:eastAsia="en-US"/>
        </w:rPr>
        <w:t>полютантов</w:t>
      </w:r>
      <w:proofErr w:type="spellEnd"/>
      <w:r w:rsidRPr="0092212F">
        <w:rPr>
          <w:rFonts w:eastAsia="Calibri"/>
          <w:lang w:eastAsia="en-US"/>
        </w:rPr>
        <w:t xml:space="preserve"> в периоды наибольшей загрузки мощностей предприятия заказами от потребителей. Методы очистки стоков, как и для катионов никеля и меди, основан</w:t>
      </w:r>
      <w:r w:rsidR="005A3BF9" w:rsidRPr="0092212F">
        <w:rPr>
          <w:rFonts w:eastAsia="Calibri"/>
          <w:lang w:eastAsia="en-US"/>
        </w:rPr>
        <w:t>ы</w:t>
      </w:r>
      <w:r w:rsidRPr="0092212F">
        <w:rPr>
          <w:rFonts w:eastAsia="Calibri"/>
          <w:lang w:eastAsia="en-US"/>
        </w:rPr>
        <w:t xml:space="preserve"> на образовании взвеси хлопьев гидроксида металла в присутствии </w:t>
      </w:r>
      <w:proofErr w:type="spellStart"/>
      <w:r w:rsidRPr="0092212F">
        <w:rPr>
          <w:rFonts w:eastAsia="Calibri"/>
          <w:lang w:eastAsia="en-US"/>
        </w:rPr>
        <w:t>флокулянта</w:t>
      </w:r>
      <w:proofErr w:type="spellEnd"/>
      <w:r w:rsidRPr="0092212F">
        <w:rPr>
          <w:rFonts w:eastAsia="Calibri"/>
          <w:lang w:eastAsia="en-US"/>
        </w:rPr>
        <w:t xml:space="preserve"> (</w:t>
      </w:r>
      <w:proofErr w:type="spellStart"/>
      <w:r w:rsidRPr="0092212F">
        <w:rPr>
          <w:rFonts w:eastAsia="Calibri"/>
          <w:lang w:eastAsia="en-US"/>
        </w:rPr>
        <w:t>полиакриламида</w:t>
      </w:r>
      <w:proofErr w:type="spellEnd"/>
      <w:r w:rsidRPr="0092212F">
        <w:rPr>
          <w:rFonts w:eastAsia="Calibri"/>
          <w:lang w:eastAsia="en-US"/>
        </w:rPr>
        <w:t xml:space="preserve">) с их последующим отстаиванием. Анализ воды после очистки показывает, что очистные сооружения и в этом случае работают на пределе возможности. Все проведённые исследования говорят о недостаточной эффективности работы непосредственно очистных сооружений. </w:t>
      </w:r>
    </w:p>
    <w:p w14:paraId="5F80C2C1" w14:textId="77777777" w:rsidR="00A624B6" w:rsidRPr="0092212F" w:rsidRDefault="00A624B6" w:rsidP="0092212F">
      <w:pPr>
        <w:ind w:firstLine="708"/>
        <w:jc w:val="both"/>
        <w:rPr>
          <w:rFonts w:eastAsia="Calibri"/>
          <w:lang w:eastAsia="en-US"/>
        </w:rPr>
      </w:pPr>
      <w:r w:rsidRPr="0092212F">
        <w:rPr>
          <w:rFonts w:eastAsia="Calibri"/>
          <w:lang w:eastAsia="en-US"/>
        </w:rPr>
        <w:t xml:space="preserve">Железосодержащие стоки образуются в результате травления и обезжиривания различных комплектующих изделий. Далее раствор из ванн обезжиривания и травления смешивается с промывочной водой и поступает на очистные сооружения, проходит очистку и сливается в городской канализационный сток. Вновь в ряде случаев концентрация железа на входе в очистные сооружения несколько превышает ПДК никеля, меди и цинка. Анализ проб воды после очистки опять не исключает возможность превышения ПДК по железу, что лишний раз свидетельствует о том, что они работают на пределе своих возможностей. </w:t>
      </w:r>
    </w:p>
    <w:p w14:paraId="69BC41C0" w14:textId="77777777" w:rsidR="000C321F" w:rsidRPr="0092212F" w:rsidRDefault="00A624B6" w:rsidP="0092212F">
      <w:pPr>
        <w:ind w:firstLine="708"/>
        <w:jc w:val="both"/>
        <w:rPr>
          <w:rFonts w:eastAsia="Calibri"/>
          <w:lang w:eastAsia="en-US"/>
        </w:rPr>
      </w:pPr>
      <w:r w:rsidRPr="0092212F">
        <w:rPr>
          <w:rFonts w:eastAsia="Calibri"/>
          <w:lang w:eastAsia="en-US"/>
        </w:rPr>
        <w:t>Очистка хромосодержащих стоков, образующихся при промывке деталей после хромирования, является чрезвычайно актуальной, поскольку соединения хрома очень токсичны. Подходы к их извлечению на ОАО ТЗ «Октябрь» аналогичны рассмотренным ранее. Концентрация хрома на входе в очистные сооружения колеблется в пределах 5–50 мг/л, не превышая, таким образом, ПДК (50 мг/л) в 2012 г. После очистки концентрация ионов хрома в водах, сбрасываемых в городскую канализацию, колеблется в пределах 0,1–0,35 мг/л, не превышая ПДК, составляющую 0,4 мг/л, что соответствует санитарно-гигиеническим требованиям, предъявляемым к сточным водам. В настоящее время эффективность очистки сточных вод от ионов хрома на ОАО ТЗ «Октябрь» достаточна и соответствует требованиям, предъя</w:t>
      </w:r>
      <w:r w:rsidR="000C321F" w:rsidRPr="0092212F">
        <w:rPr>
          <w:rFonts w:eastAsia="Calibri"/>
          <w:lang w:eastAsia="en-US"/>
        </w:rPr>
        <w:t>вляемым к очистным сооружениям.</w:t>
      </w:r>
    </w:p>
    <w:p w14:paraId="76334235" w14:textId="77777777" w:rsidR="00A56C77" w:rsidRPr="0092212F" w:rsidRDefault="000C321F" w:rsidP="0092212F">
      <w:pPr>
        <w:ind w:firstLine="709"/>
        <w:jc w:val="both"/>
        <w:rPr>
          <w:color w:val="1A1A1D"/>
          <w:shd w:val="clear" w:color="auto" w:fill="FFFFFF"/>
        </w:rPr>
      </w:pPr>
      <w:r w:rsidRPr="0092212F">
        <w:rPr>
          <w:rFonts w:eastAsia="Calibri"/>
          <w:lang w:eastAsia="en-US"/>
        </w:rPr>
        <w:t>Согласно официальному сайту</w:t>
      </w:r>
      <w:r w:rsidR="00110465" w:rsidRPr="0092212F">
        <w:rPr>
          <w:rFonts w:eastAsia="Calibri"/>
          <w:lang w:eastAsia="en-US"/>
        </w:rPr>
        <w:t xml:space="preserve"> </w:t>
      </w:r>
      <w:proofErr w:type="gramStart"/>
      <w:r w:rsidRPr="0092212F">
        <w:rPr>
          <w:rFonts w:eastAsia="Calibri"/>
          <w:lang w:eastAsia="en-US"/>
        </w:rPr>
        <w:t>у предприятия</w:t>
      </w:r>
      <w:proofErr w:type="gramEnd"/>
      <w:r w:rsidRPr="0092212F">
        <w:rPr>
          <w:rFonts w:eastAsia="Calibri"/>
          <w:lang w:eastAsia="en-US"/>
        </w:rPr>
        <w:t xml:space="preserve"> имеются планы на резкий рост производства к 2020</w:t>
      </w:r>
      <w:r w:rsidR="00CD30A2" w:rsidRPr="0092212F">
        <w:rPr>
          <w:rFonts w:eastAsia="Calibri"/>
          <w:lang w:eastAsia="en-US"/>
        </w:rPr>
        <w:t xml:space="preserve"> </w:t>
      </w:r>
      <w:r w:rsidRPr="0092212F">
        <w:rPr>
          <w:rFonts w:eastAsia="Calibri"/>
          <w:lang w:eastAsia="en-US"/>
        </w:rPr>
        <w:t>году</w:t>
      </w:r>
      <w:r w:rsidR="00110465" w:rsidRPr="0092212F">
        <w:rPr>
          <w:rFonts w:eastAsia="Calibri"/>
          <w:lang w:eastAsia="en-US"/>
        </w:rPr>
        <w:t xml:space="preserve"> [3]</w:t>
      </w:r>
      <w:r w:rsidR="00890266" w:rsidRPr="0092212F">
        <w:rPr>
          <w:rFonts w:eastAsia="Calibri"/>
          <w:lang w:eastAsia="en-US"/>
        </w:rPr>
        <w:t>, однако согласно</w:t>
      </w:r>
      <w:r w:rsidR="005A3BF9" w:rsidRPr="0092212F">
        <w:rPr>
          <w:rFonts w:eastAsia="Calibri"/>
          <w:lang w:eastAsia="en-US"/>
        </w:rPr>
        <w:t xml:space="preserve"> открытой информации [</w:t>
      </w:r>
      <w:r w:rsidR="001236EF" w:rsidRPr="0092212F">
        <w:rPr>
          <w:rFonts w:eastAsia="Calibri"/>
          <w:lang w:eastAsia="en-US"/>
        </w:rPr>
        <w:t>4</w:t>
      </w:r>
      <w:r w:rsidR="005A3BF9" w:rsidRPr="0092212F">
        <w:rPr>
          <w:rFonts w:eastAsia="Calibri"/>
          <w:lang w:eastAsia="en-US"/>
        </w:rPr>
        <w:t>]</w:t>
      </w:r>
      <w:r w:rsidR="00890266" w:rsidRPr="0092212F">
        <w:rPr>
          <w:rFonts w:eastAsia="Calibri"/>
          <w:lang w:eastAsia="en-US"/>
        </w:rPr>
        <w:t xml:space="preserve"> </w:t>
      </w:r>
      <w:r w:rsidR="00890266" w:rsidRPr="0092212F">
        <w:rPr>
          <w:color w:val="1A1A1D"/>
          <w:shd w:val="clear" w:color="auto" w:fill="FFFFFF"/>
        </w:rPr>
        <w:t>предприятие не объявляло т</w:t>
      </w:r>
      <w:r w:rsidR="00CD30A2" w:rsidRPr="0092212F">
        <w:rPr>
          <w:color w:val="1A1A1D"/>
          <w:shd w:val="clear" w:color="auto" w:fill="FFFFFF"/>
        </w:rPr>
        <w:t>ендеры на закупку или установку</w:t>
      </w:r>
      <w:r w:rsidR="005A3BF9" w:rsidRPr="0092212F">
        <w:rPr>
          <w:color w:val="1A1A1D"/>
          <w:shd w:val="clear" w:color="auto" w:fill="FFFFFF"/>
        </w:rPr>
        <w:t xml:space="preserve"> какого-</w:t>
      </w:r>
      <w:r w:rsidR="00890266" w:rsidRPr="0092212F">
        <w:rPr>
          <w:color w:val="1A1A1D"/>
          <w:shd w:val="clear" w:color="auto" w:fill="FFFFFF"/>
        </w:rPr>
        <w:t xml:space="preserve">либо оборудования для очистки стоков. </w:t>
      </w:r>
      <w:r w:rsidR="00A56C77" w:rsidRPr="0092212F">
        <w:rPr>
          <w:color w:val="1A1A1D"/>
          <w:shd w:val="clear" w:color="auto" w:fill="FFFFFF"/>
        </w:rPr>
        <w:t xml:space="preserve">Самостоятельно же предприятие не выпускает </w:t>
      </w:r>
      <w:r w:rsidR="005A3BF9" w:rsidRPr="0092212F">
        <w:rPr>
          <w:color w:val="1A1A1D"/>
          <w:shd w:val="clear" w:color="auto" w:fill="FFFFFF"/>
        </w:rPr>
        <w:t xml:space="preserve">такого </w:t>
      </w:r>
      <w:r w:rsidR="00A56C77" w:rsidRPr="0092212F">
        <w:rPr>
          <w:color w:val="1A1A1D"/>
          <w:shd w:val="clear" w:color="auto" w:fill="FFFFFF"/>
        </w:rPr>
        <w:t>оборудования.</w:t>
      </w:r>
    </w:p>
    <w:p w14:paraId="277FD4D4" w14:textId="77777777" w:rsidR="00A56C77" w:rsidRPr="0092212F" w:rsidRDefault="00A56C77" w:rsidP="0092212F">
      <w:pPr>
        <w:ind w:firstLine="709"/>
        <w:jc w:val="both"/>
        <w:rPr>
          <w:color w:val="000000"/>
        </w:rPr>
      </w:pPr>
      <w:r w:rsidRPr="0092212F">
        <w:rPr>
          <w:color w:val="000000"/>
        </w:rPr>
        <w:t>Исходя из полученных данных</w:t>
      </w:r>
      <w:r w:rsidR="002C53C3" w:rsidRPr="0092212F">
        <w:rPr>
          <w:color w:val="000000"/>
        </w:rPr>
        <w:t xml:space="preserve">, </w:t>
      </w:r>
      <w:r w:rsidRPr="0092212F">
        <w:rPr>
          <w:color w:val="000000"/>
        </w:rPr>
        <w:t>можно отметить, что в случае резкого наращивания производства</w:t>
      </w:r>
      <w:r w:rsidR="002C53C3" w:rsidRPr="0092212F">
        <w:rPr>
          <w:color w:val="000000"/>
        </w:rPr>
        <w:t xml:space="preserve"> очистные соо</w:t>
      </w:r>
      <w:r w:rsidR="00A97F22" w:rsidRPr="0092212F">
        <w:rPr>
          <w:color w:val="000000"/>
        </w:rPr>
        <w:t>ружения могут быть перегружены и</w:t>
      </w:r>
      <w:r w:rsidR="002C53C3" w:rsidRPr="0092212F">
        <w:rPr>
          <w:color w:val="000000"/>
        </w:rPr>
        <w:t xml:space="preserve"> не смогут выполнять необходимую очистку стоков.</w:t>
      </w:r>
      <w:r w:rsidR="00BF48C7" w:rsidRPr="0092212F">
        <w:rPr>
          <w:color w:val="000000"/>
        </w:rPr>
        <w:t xml:space="preserve"> </w:t>
      </w:r>
    </w:p>
    <w:p w14:paraId="6E14A04E" w14:textId="77777777" w:rsidR="00A56C77" w:rsidRPr="0092212F" w:rsidRDefault="007B5471" w:rsidP="0092212F">
      <w:pPr>
        <w:ind w:firstLine="708"/>
        <w:jc w:val="both"/>
        <w:textAlignment w:val="baseline"/>
        <w:rPr>
          <w:rFonts w:eastAsia="Calibri"/>
          <w:lang w:eastAsia="en-US"/>
        </w:rPr>
      </w:pPr>
      <w:r w:rsidRPr="0092212F">
        <w:rPr>
          <w:color w:val="000000"/>
        </w:rPr>
        <w:t xml:space="preserve">Проанализируем ситуацию по гальваническим стокам на предприятии ОАО «Корпорация </w:t>
      </w:r>
      <w:proofErr w:type="spellStart"/>
      <w:r w:rsidRPr="0092212F">
        <w:rPr>
          <w:color w:val="000000"/>
        </w:rPr>
        <w:t>Росхимзащита</w:t>
      </w:r>
      <w:proofErr w:type="spellEnd"/>
      <w:r w:rsidR="00912542" w:rsidRPr="0092212F">
        <w:rPr>
          <w:color w:val="000000"/>
        </w:rPr>
        <w:t>»</w:t>
      </w:r>
      <w:r w:rsidRPr="0092212F">
        <w:rPr>
          <w:color w:val="000000"/>
        </w:rPr>
        <w:t>.</w:t>
      </w:r>
      <w:r w:rsidRPr="0092212F">
        <w:rPr>
          <w:rFonts w:eastAsia="Calibri"/>
          <w:lang w:eastAsia="en-US"/>
        </w:rPr>
        <w:t xml:space="preserve"> В настоящее время предприятие располагает одной производственной площадкой, на которой расположен ряд производственных участков. В том числе участки, связанные с производством средств защиты дыхания (отделение </w:t>
      </w:r>
      <w:r w:rsidRPr="0092212F">
        <w:rPr>
          <w:rFonts w:eastAsia="Calibri"/>
          <w:lang w:eastAsia="en-US"/>
        </w:rPr>
        <w:lastRenderedPageBreak/>
        <w:t xml:space="preserve">приготовления поглотителей, участок снаряжения, 2 участка производства цеолитов, 2 участка покраски, 2 гальванических участка, сварочный участок и др.). За последние 4 года предприятие увеличило свои производственные мощности более чем в 2 раза, </w:t>
      </w:r>
      <w:r w:rsidR="00A56C77" w:rsidRPr="0092212F">
        <w:rPr>
          <w:rFonts w:eastAsia="Calibri"/>
          <w:lang w:eastAsia="en-US"/>
        </w:rPr>
        <w:t>согласно аудиторской отчётности 2014-2017 гг.</w:t>
      </w:r>
      <w:r w:rsidR="00E1746D" w:rsidRPr="0092212F">
        <w:rPr>
          <w:rFonts w:eastAsia="Calibri"/>
          <w:lang w:eastAsia="en-US"/>
        </w:rPr>
        <w:t xml:space="preserve"> [</w:t>
      </w:r>
      <w:r w:rsidR="00F42760" w:rsidRPr="0092212F">
        <w:rPr>
          <w:rFonts w:eastAsia="Calibri"/>
          <w:lang w:eastAsia="en-US"/>
        </w:rPr>
        <w:t>5</w:t>
      </w:r>
      <w:r w:rsidR="00E1746D" w:rsidRPr="0092212F">
        <w:rPr>
          <w:rFonts w:eastAsia="Calibri"/>
          <w:lang w:eastAsia="en-US"/>
        </w:rPr>
        <w:t xml:space="preserve">] </w:t>
      </w:r>
      <w:r w:rsidR="00A56C77" w:rsidRPr="0092212F">
        <w:rPr>
          <w:rFonts w:eastAsia="Calibri"/>
          <w:lang w:eastAsia="en-US"/>
        </w:rPr>
        <w:t xml:space="preserve"> </w:t>
      </w:r>
    </w:p>
    <w:p w14:paraId="2856C1A1" w14:textId="77777777" w:rsidR="00A56C77" w:rsidRPr="0092212F" w:rsidRDefault="00BF48C7" w:rsidP="0092212F">
      <w:pPr>
        <w:ind w:firstLine="708"/>
        <w:jc w:val="both"/>
        <w:textAlignment w:val="baseline"/>
      </w:pPr>
      <w:r w:rsidRPr="0092212F">
        <w:rPr>
          <w:rFonts w:eastAsia="Calibri"/>
          <w:lang w:eastAsia="en-US"/>
        </w:rPr>
        <w:t xml:space="preserve">Согласно </w:t>
      </w:r>
      <w:r w:rsidR="00E1746D" w:rsidRPr="0092212F">
        <w:rPr>
          <w:rFonts w:eastAsia="Calibri"/>
          <w:lang w:eastAsia="en-US"/>
        </w:rPr>
        <w:t>информации из открытых источников [</w:t>
      </w:r>
      <w:r w:rsidR="00F42760" w:rsidRPr="0092212F">
        <w:rPr>
          <w:rFonts w:eastAsia="Calibri"/>
          <w:lang w:eastAsia="en-US"/>
        </w:rPr>
        <w:t>6</w:t>
      </w:r>
      <w:proofErr w:type="gramStart"/>
      <w:r w:rsidR="00E1746D" w:rsidRPr="0092212F">
        <w:rPr>
          <w:rFonts w:eastAsia="Calibri"/>
          <w:lang w:eastAsia="en-US"/>
        </w:rPr>
        <w:t xml:space="preserve">] </w:t>
      </w:r>
      <w:r w:rsidRPr="0092212F">
        <w:rPr>
          <w:rFonts w:eastAsia="Calibri"/>
          <w:lang w:eastAsia="en-US"/>
        </w:rPr>
        <w:t xml:space="preserve"> на</w:t>
      </w:r>
      <w:proofErr w:type="gramEnd"/>
      <w:r w:rsidRPr="0092212F">
        <w:rPr>
          <w:rFonts w:eastAsia="Calibri"/>
          <w:lang w:eastAsia="en-US"/>
        </w:rPr>
        <w:t xml:space="preserve"> предприятии были реализованы </w:t>
      </w:r>
      <w:r w:rsidR="007B5471" w:rsidRPr="0092212F">
        <w:t>техническое перевооружение и ремонт помещений опытно-механического цеха № 19 (гальваническое отделение). </w:t>
      </w:r>
      <w:r w:rsidR="00A56C77" w:rsidRPr="0092212F">
        <w:t xml:space="preserve">Также был произведён </w:t>
      </w:r>
      <w:r w:rsidR="00A56C77" w:rsidRPr="0092212F">
        <w:rPr>
          <w:kern w:val="36"/>
        </w:rPr>
        <w:t xml:space="preserve">монтаж местной вытяжной вентиляции от ванны </w:t>
      </w:r>
      <w:proofErr w:type="spellStart"/>
      <w:r w:rsidR="00A56C77" w:rsidRPr="0092212F">
        <w:rPr>
          <w:kern w:val="36"/>
        </w:rPr>
        <w:t>электрополирования</w:t>
      </w:r>
      <w:proofErr w:type="spellEnd"/>
      <w:r w:rsidR="00A56C77" w:rsidRPr="0092212F">
        <w:rPr>
          <w:kern w:val="36"/>
        </w:rPr>
        <w:t xml:space="preserve"> и ванны промывки-уловителя двухкаскадного в гальваническом отделении</w:t>
      </w:r>
      <w:r w:rsidR="00E1746D" w:rsidRPr="0092212F">
        <w:rPr>
          <w:kern w:val="36"/>
        </w:rPr>
        <w:t>.</w:t>
      </w:r>
    </w:p>
    <w:p w14:paraId="234F098B" w14:textId="77777777" w:rsidR="002C53C3" w:rsidRPr="0092212F" w:rsidRDefault="00CD30A2" w:rsidP="0092212F">
      <w:pPr>
        <w:ind w:firstLine="708"/>
        <w:jc w:val="both"/>
        <w:textAlignment w:val="baseline"/>
        <w:rPr>
          <w:color w:val="000000"/>
        </w:rPr>
      </w:pPr>
      <w:r w:rsidRPr="0092212F">
        <w:rPr>
          <w:color w:val="000000"/>
        </w:rPr>
        <w:t>На текущий период, каких-</w:t>
      </w:r>
      <w:r w:rsidR="002C53C3" w:rsidRPr="0092212F">
        <w:rPr>
          <w:color w:val="000000"/>
        </w:rPr>
        <w:t xml:space="preserve">либо нарушений в сфере экологической безопасности на данном предприятии не выявлено, что предполагает достаточную мощность систем очистки стоков на этом предприятии. </w:t>
      </w:r>
    </w:p>
    <w:p w14:paraId="2A2DDAFC" w14:textId="77777777" w:rsidR="002C4D65" w:rsidRPr="0092212F" w:rsidRDefault="002C53C3" w:rsidP="0092212F">
      <w:pPr>
        <w:ind w:firstLine="708"/>
        <w:jc w:val="both"/>
        <w:rPr>
          <w:rFonts w:eastAsia="Calibri"/>
          <w:lang w:eastAsia="en-US"/>
        </w:rPr>
      </w:pPr>
      <w:r w:rsidRPr="0092212F">
        <w:rPr>
          <w:color w:val="000000"/>
        </w:rPr>
        <w:t xml:space="preserve">Ещё одним предприятием в качестве примера можно рассмотреть ПАО «Электроприбор». </w:t>
      </w:r>
      <w:r w:rsidRPr="0092212F">
        <w:rPr>
          <w:rFonts w:eastAsia="Calibri"/>
          <w:lang w:eastAsia="en-US"/>
        </w:rPr>
        <w:t xml:space="preserve">Основным источником загрязнения сточных вод является цех № 7, где имеется гальваническое производство. </w:t>
      </w:r>
      <w:r w:rsidR="005A0BD2" w:rsidRPr="0092212F">
        <w:rPr>
          <w:rFonts w:eastAsia="Calibri"/>
          <w:lang w:eastAsia="en-US"/>
        </w:rPr>
        <w:t>При</w:t>
      </w:r>
      <w:r w:rsidRPr="0092212F">
        <w:rPr>
          <w:rFonts w:eastAsia="Calibri"/>
          <w:lang w:eastAsia="en-US"/>
        </w:rPr>
        <w:t xml:space="preserve"> проектировании предприятия для очистки сточных вод были предусмотрены и построены</w:t>
      </w:r>
      <w:r w:rsidR="001F62F8" w:rsidRPr="0092212F">
        <w:rPr>
          <w:rFonts w:eastAsia="Calibri"/>
          <w:lang w:eastAsia="en-US"/>
        </w:rPr>
        <w:t xml:space="preserve"> локальные очистные сооружения, </w:t>
      </w:r>
      <w:r w:rsidR="005A0BD2" w:rsidRPr="0092212F">
        <w:rPr>
          <w:rFonts w:eastAsia="Calibri"/>
          <w:lang w:eastAsia="en-US"/>
        </w:rPr>
        <w:t>проектной мощностью 480 м</w:t>
      </w:r>
      <w:r w:rsidR="005A0BD2" w:rsidRPr="0092212F">
        <w:rPr>
          <w:rFonts w:eastAsia="Calibri"/>
          <w:vertAlign w:val="superscript"/>
          <w:lang w:eastAsia="en-US"/>
        </w:rPr>
        <w:t>3</w:t>
      </w:r>
      <w:r w:rsidRPr="0092212F">
        <w:rPr>
          <w:rFonts w:eastAsia="Calibri"/>
          <w:lang w:eastAsia="en-US"/>
        </w:rPr>
        <w:t>/</w:t>
      </w:r>
      <w:proofErr w:type="spellStart"/>
      <w:r w:rsidRPr="0092212F">
        <w:rPr>
          <w:rFonts w:eastAsia="Calibri"/>
          <w:lang w:eastAsia="en-US"/>
        </w:rPr>
        <w:t>сут</w:t>
      </w:r>
      <w:proofErr w:type="spellEnd"/>
      <w:r w:rsidRPr="0092212F">
        <w:rPr>
          <w:rFonts w:eastAsia="Calibri"/>
          <w:lang w:eastAsia="en-US"/>
        </w:rPr>
        <w:t xml:space="preserve">. </w:t>
      </w:r>
    </w:p>
    <w:p w14:paraId="3C36C5F2" w14:textId="77777777" w:rsidR="002C53C3" w:rsidRPr="0092212F" w:rsidRDefault="002C53C3" w:rsidP="0092212F">
      <w:pPr>
        <w:ind w:firstLine="708"/>
        <w:jc w:val="both"/>
        <w:rPr>
          <w:rFonts w:eastAsia="Calibri"/>
          <w:lang w:eastAsia="en-US"/>
        </w:rPr>
      </w:pPr>
      <w:r w:rsidRPr="0092212F">
        <w:rPr>
          <w:rFonts w:eastAsia="Calibri"/>
          <w:lang w:eastAsia="en-US"/>
        </w:rPr>
        <w:t xml:space="preserve">Комплекс оборудования и коммуникации локальных очистных сооружений предусматривают раздельное поступление и обезвреживание циансодержащих, хромосодержащих и кислотно-щелочных стоков. Сточные воды от цеха № 7 поступают по 3 независимым </w:t>
      </w:r>
      <w:r w:rsidR="005A0BD2" w:rsidRPr="0092212F">
        <w:rPr>
          <w:rFonts w:eastAsia="Calibri"/>
          <w:lang w:eastAsia="en-US"/>
        </w:rPr>
        <w:t>магистралям</w:t>
      </w:r>
      <w:r w:rsidRPr="0092212F">
        <w:rPr>
          <w:rFonts w:eastAsia="Calibri"/>
          <w:lang w:eastAsia="en-US"/>
        </w:rPr>
        <w:t xml:space="preserve">, для каждой предусмотрен свой метод очистки. Станция очистки состоит из двухэтажного здания с подвалом размером в плане 15×24 м. Пройдя раздельный цикл очистки, сточные воды поступают в два раздельных отстойника, откуда сбрасываются в канализационный коллектор. Осадок, полученный в результате отстаивания обезвреженных стоков, перекачивается насосами в </w:t>
      </w:r>
      <w:proofErr w:type="spellStart"/>
      <w:r w:rsidRPr="0092212F">
        <w:rPr>
          <w:rFonts w:eastAsia="Calibri"/>
          <w:lang w:eastAsia="en-US"/>
        </w:rPr>
        <w:t>илонакопитель</w:t>
      </w:r>
      <w:proofErr w:type="spellEnd"/>
      <w:r w:rsidRPr="0092212F">
        <w:rPr>
          <w:rFonts w:eastAsia="Calibri"/>
          <w:lang w:eastAsia="en-US"/>
        </w:rPr>
        <w:t xml:space="preserve">. Из </w:t>
      </w:r>
      <w:proofErr w:type="spellStart"/>
      <w:r w:rsidRPr="0092212F">
        <w:rPr>
          <w:rFonts w:eastAsia="Calibri"/>
          <w:lang w:eastAsia="en-US"/>
        </w:rPr>
        <w:t>илонакопителя</w:t>
      </w:r>
      <w:proofErr w:type="spellEnd"/>
      <w:r w:rsidRPr="0092212F">
        <w:rPr>
          <w:rFonts w:eastAsia="Calibri"/>
          <w:lang w:eastAsia="en-US"/>
        </w:rPr>
        <w:t xml:space="preserve"> осадок насосами подается на барабанный вакуум-фильтр, где происходит его обезвоживание до остаточной влажности 80 %. Обезвоженный осадок собирается и утилизируется</w:t>
      </w:r>
      <w:r w:rsidR="005A0BD2" w:rsidRPr="0092212F">
        <w:rPr>
          <w:rFonts w:eastAsia="Calibri"/>
          <w:lang w:eastAsia="en-US"/>
        </w:rPr>
        <w:t>. [</w:t>
      </w:r>
      <w:r w:rsidR="008D0F49" w:rsidRPr="0092212F">
        <w:rPr>
          <w:rFonts w:eastAsia="Calibri"/>
          <w:lang w:eastAsia="en-US"/>
        </w:rPr>
        <w:t>7</w:t>
      </w:r>
      <w:r w:rsidR="005A0BD2" w:rsidRPr="0092212F">
        <w:rPr>
          <w:rFonts w:eastAsia="Calibri"/>
          <w:lang w:eastAsia="en-US"/>
        </w:rPr>
        <w:t>]</w:t>
      </w:r>
    </w:p>
    <w:p w14:paraId="1C54AAEF" w14:textId="77777777" w:rsidR="001F62F8" w:rsidRPr="0092212F" w:rsidRDefault="001F62F8" w:rsidP="0092212F">
      <w:pPr>
        <w:ind w:firstLine="708"/>
        <w:jc w:val="both"/>
        <w:rPr>
          <w:rFonts w:eastAsia="Calibri"/>
          <w:lang w:eastAsia="en-US"/>
        </w:rPr>
      </w:pPr>
      <w:r w:rsidRPr="0092212F">
        <w:rPr>
          <w:rFonts w:eastAsia="Calibri"/>
          <w:lang w:eastAsia="en-US"/>
        </w:rPr>
        <w:t xml:space="preserve">На </w:t>
      </w:r>
      <w:r w:rsidRPr="0092212F">
        <w:t xml:space="preserve">2012 г. </w:t>
      </w:r>
      <w:r w:rsidRPr="0092212F">
        <w:rPr>
          <w:rFonts w:eastAsia="Calibri"/>
          <w:lang w:eastAsia="en-US"/>
        </w:rPr>
        <w:t xml:space="preserve"> загруженность очистных сооружений составляла около 40 %. За период с 2015 по 2018 год нарушений в сфере </w:t>
      </w:r>
      <w:r w:rsidR="005A0BD2" w:rsidRPr="0092212F">
        <w:rPr>
          <w:rFonts w:eastAsia="Calibri"/>
          <w:lang w:eastAsia="en-US"/>
        </w:rPr>
        <w:t>очистки стоков</w:t>
      </w:r>
      <w:r w:rsidRPr="0092212F">
        <w:rPr>
          <w:rFonts w:eastAsia="Calibri"/>
          <w:lang w:eastAsia="en-US"/>
        </w:rPr>
        <w:t xml:space="preserve"> </w:t>
      </w:r>
      <w:r w:rsidR="005A0BD2" w:rsidRPr="0092212F">
        <w:rPr>
          <w:rFonts w:eastAsia="Calibri"/>
          <w:lang w:eastAsia="en-US"/>
        </w:rPr>
        <w:t xml:space="preserve">на данном предприятии </w:t>
      </w:r>
      <w:r w:rsidRPr="0092212F">
        <w:rPr>
          <w:rFonts w:eastAsia="Calibri"/>
          <w:lang w:eastAsia="en-US"/>
        </w:rPr>
        <w:t xml:space="preserve">не выявлено. </w:t>
      </w:r>
      <w:r w:rsidR="005A0BD2" w:rsidRPr="0092212F">
        <w:rPr>
          <w:rFonts w:eastAsia="Calibri"/>
          <w:lang w:eastAsia="en-US"/>
        </w:rPr>
        <w:t>[</w:t>
      </w:r>
      <w:r w:rsidR="008D0F49" w:rsidRPr="0092212F">
        <w:rPr>
          <w:rFonts w:eastAsia="Calibri"/>
          <w:lang w:eastAsia="en-US"/>
        </w:rPr>
        <w:t>8</w:t>
      </w:r>
      <w:r w:rsidR="005A0BD2" w:rsidRPr="0092212F">
        <w:rPr>
          <w:rFonts w:eastAsia="Calibri"/>
          <w:lang w:eastAsia="en-US"/>
        </w:rPr>
        <w:t>]</w:t>
      </w:r>
    </w:p>
    <w:p w14:paraId="772E5A61" w14:textId="77777777" w:rsidR="00940D4C" w:rsidRPr="0092212F" w:rsidRDefault="00940D4C" w:rsidP="0092212F">
      <w:pPr>
        <w:pStyle w:val="a4"/>
        <w:ind w:firstLine="708"/>
        <w:jc w:val="both"/>
      </w:pPr>
      <w:r w:rsidRPr="0092212F">
        <w:rPr>
          <w:rFonts w:eastAsia="Calibri"/>
        </w:rPr>
        <w:t xml:space="preserve">Примером оптимальной очистки стоков можно отметить предприятие </w:t>
      </w:r>
      <w:r w:rsidRPr="0092212F">
        <w:t>«ТАГАТ» имени С.И. Лившица</w:t>
      </w:r>
      <w:r w:rsidRPr="0092212F">
        <w:rPr>
          <w:shd w:val="clear" w:color="auto" w:fill="FFFFFF"/>
        </w:rPr>
        <w:t xml:space="preserve">. </w:t>
      </w:r>
      <w:r w:rsidRPr="0092212F">
        <w:rPr>
          <w:rFonts w:eastAsia="Calibri"/>
        </w:rPr>
        <w:t>Производство и выпускаемая продукция ориентированы на выпуск гальванотехнического оборудования, что позволило использовать собственную материально техническую базу для внедрения в эксплуатацию высокоэффективной системы очистки от и</w:t>
      </w:r>
      <w:r w:rsidR="00CD30A2" w:rsidRPr="0092212F">
        <w:rPr>
          <w:rFonts w:eastAsia="Calibri"/>
        </w:rPr>
        <w:t xml:space="preserve">онов тяжелых металлов КОС-17М. </w:t>
      </w:r>
      <w:r w:rsidRPr="0092212F">
        <w:t xml:space="preserve">Очистка </w:t>
      </w:r>
      <w:proofErr w:type="spellStart"/>
      <w:r w:rsidRPr="0092212F">
        <w:t>гальваностоков</w:t>
      </w:r>
      <w:proofErr w:type="spellEnd"/>
      <w:r w:rsidRPr="0092212F">
        <w:t xml:space="preserve"> </w:t>
      </w:r>
      <w:r w:rsidR="005A0BD2" w:rsidRPr="0092212F">
        <w:t xml:space="preserve">в данной системе </w:t>
      </w:r>
      <w:r w:rsidRPr="0092212F">
        <w:t>включает следующие основные стадии:</w:t>
      </w:r>
      <w:r w:rsidR="005A0BD2" w:rsidRPr="0092212F">
        <w:t xml:space="preserve"> </w:t>
      </w:r>
      <w:r w:rsidRPr="0092212F">
        <w:t>1 Электрок</w:t>
      </w:r>
      <w:r w:rsidR="005A0BD2" w:rsidRPr="0092212F">
        <w:t>оагуляция (очистка стоков от ионов тяжелых металлов</w:t>
      </w:r>
      <w:r w:rsidRPr="0092212F">
        <w:t xml:space="preserve">: получение нерастворимых гидроксидов </w:t>
      </w:r>
      <w:proofErr w:type="spellStart"/>
      <w:r w:rsidRPr="0092212F">
        <w:t>Fe</w:t>
      </w:r>
      <w:proofErr w:type="spellEnd"/>
      <w:r w:rsidRPr="0092212F">
        <w:t>(OH)</w:t>
      </w:r>
      <w:r w:rsidRPr="0092212F">
        <w:rPr>
          <w:vertAlign w:val="subscript"/>
        </w:rPr>
        <w:t>2</w:t>
      </w:r>
      <w:r w:rsidRPr="0092212F">
        <w:t xml:space="preserve">, </w:t>
      </w:r>
      <w:proofErr w:type="spellStart"/>
      <w:r w:rsidRPr="0092212F">
        <w:t>Zn</w:t>
      </w:r>
      <w:proofErr w:type="spellEnd"/>
      <w:r w:rsidRPr="0092212F">
        <w:t>(OH)</w:t>
      </w:r>
      <w:r w:rsidRPr="0092212F">
        <w:rPr>
          <w:vertAlign w:val="subscript"/>
        </w:rPr>
        <w:t>2</w:t>
      </w:r>
      <w:r w:rsidRPr="0092212F">
        <w:t xml:space="preserve">, </w:t>
      </w:r>
      <w:proofErr w:type="spellStart"/>
      <w:r w:rsidRPr="0092212F">
        <w:t>Cr</w:t>
      </w:r>
      <w:proofErr w:type="spellEnd"/>
      <w:r w:rsidRPr="0092212F">
        <w:t>(OH)</w:t>
      </w:r>
      <w:r w:rsidRPr="0092212F">
        <w:rPr>
          <w:vertAlign w:val="subscript"/>
        </w:rPr>
        <w:t>3</w:t>
      </w:r>
      <w:r w:rsidRPr="0092212F">
        <w:t xml:space="preserve"> и </w:t>
      </w:r>
      <w:proofErr w:type="spellStart"/>
      <w:r w:rsidRPr="0092212F">
        <w:t>др</w:t>
      </w:r>
      <w:proofErr w:type="spellEnd"/>
      <w:r w:rsidR="005A0BD2" w:rsidRPr="0092212F">
        <w:t>)</w:t>
      </w:r>
      <w:r w:rsidRPr="0092212F">
        <w:t>;</w:t>
      </w:r>
      <w:r w:rsidR="005A0BD2" w:rsidRPr="0092212F">
        <w:t xml:space="preserve"> </w:t>
      </w:r>
      <w:r w:rsidRPr="0092212F">
        <w:t>2 Отстаивание (отстаивание стоков пр</w:t>
      </w:r>
      <w:r w:rsidR="001B4B32" w:rsidRPr="0092212F">
        <w:t>и заданном рН</w:t>
      </w:r>
      <w:r w:rsidR="005A0BD2" w:rsidRPr="0092212F">
        <w:t xml:space="preserve"> в </w:t>
      </w:r>
      <w:r w:rsidRPr="0092212F">
        <w:t>отстойниках)</w:t>
      </w:r>
      <w:r w:rsidR="005A0BD2" w:rsidRPr="0092212F">
        <w:t xml:space="preserve">; </w:t>
      </w:r>
      <w:r w:rsidRPr="0092212F">
        <w:t xml:space="preserve">3 </w:t>
      </w:r>
      <w:proofErr w:type="spellStart"/>
      <w:r w:rsidRPr="0092212F">
        <w:t>Электрофлотация</w:t>
      </w:r>
      <w:proofErr w:type="spellEnd"/>
      <w:r w:rsidRPr="0092212F">
        <w:t xml:space="preserve"> (очистка стоков от мелких фракций гидрооки</w:t>
      </w:r>
      <w:r w:rsidR="005A0BD2" w:rsidRPr="0092212F">
        <w:t xml:space="preserve">сей и масел в </w:t>
      </w:r>
      <w:proofErr w:type="spellStart"/>
      <w:r w:rsidR="005A0BD2" w:rsidRPr="0092212F">
        <w:t>электрофлотаторе</w:t>
      </w:r>
      <w:proofErr w:type="spellEnd"/>
      <w:r w:rsidR="005A0BD2" w:rsidRPr="0092212F">
        <w:t xml:space="preserve">); </w:t>
      </w:r>
      <w:r w:rsidRPr="0092212F">
        <w:t>4 Фильтрация (дополни</w:t>
      </w:r>
      <w:r w:rsidR="005A0BD2" w:rsidRPr="0092212F">
        <w:t xml:space="preserve">тельная очистка воды от железа); </w:t>
      </w:r>
      <w:r w:rsidRPr="0092212F">
        <w:t>5 Обработка шламов.</w:t>
      </w:r>
    </w:p>
    <w:p w14:paraId="484E26FC" w14:textId="77777777" w:rsidR="00940D4C" w:rsidRPr="0092212F" w:rsidRDefault="00940D4C" w:rsidP="0092212F">
      <w:pPr>
        <w:shd w:val="clear" w:color="auto" w:fill="FFFFFF"/>
        <w:ind w:firstLine="708"/>
        <w:jc w:val="both"/>
      </w:pPr>
      <w:r w:rsidRPr="0092212F">
        <w:t xml:space="preserve">Для более полного извлечения меди, никеля, цинка и других металлов из сточных вод применяется ионообменный метод, основанный на последовательном выделении из сточных вод катионов и анионов </w:t>
      </w:r>
      <w:r w:rsidR="005A0BD2" w:rsidRPr="0092212F">
        <w:rPr>
          <w:rFonts w:eastAsia="Calibri"/>
          <w:lang w:eastAsia="en-US"/>
        </w:rPr>
        <w:t>[</w:t>
      </w:r>
      <w:r w:rsidR="00E73E82" w:rsidRPr="0092212F">
        <w:rPr>
          <w:rFonts w:eastAsia="Calibri"/>
          <w:lang w:eastAsia="en-US"/>
        </w:rPr>
        <w:t>9</w:t>
      </w:r>
      <w:r w:rsidR="005A0BD2" w:rsidRPr="0092212F">
        <w:rPr>
          <w:rFonts w:eastAsia="Calibri"/>
          <w:lang w:eastAsia="en-US"/>
        </w:rPr>
        <w:t>]</w:t>
      </w:r>
      <w:r w:rsidRPr="0092212F">
        <w:t xml:space="preserve">. В катионном </w:t>
      </w:r>
      <w:proofErr w:type="spellStart"/>
      <w:r w:rsidRPr="0092212F">
        <w:t>ионнообменнике</w:t>
      </w:r>
      <w:proofErr w:type="spellEnd"/>
      <w:r w:rsidRPr="0092212F">
        <w:t xml:space="preserve"> из сточных вод удаляют все металлы: медь, цинк, хром, железо. В анионном </w:t>
      </w:r>
      <w:proofErr w:type="spellStart"/>
      <w:r w:rsidRPr="0092212F">
        <w:t>ионнообменнике</w:t>
      </w:r>
      <w:proofErr w:type="spellEnd"/>
      <w:r w:rsidRPr="0092212F">
        <w:t xml:space="preserve"> удаляют все виды кислот (серная, соляная, хромовая и др.), а также другие органические и неорганические соединения.</w:t>
      </w:r>
    </w:p>
    <w:p w14:paraId="793A732D" w14:textId="77777777" w:rsidR="00940D4C" w:rsidRPr="0092212F" w:rsidRDefault="00940D4C" w:rsidP="0092212F">
      <w:pPr>
        <w:shd w:val="clear" w:color="auto" w:fill="FFFFFF"/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92212F">
        <w:t>В соответствии с заявленными техническими харак</w:t>
      </w:r>
      <w:r w:rsidR="001B4B32" w:rsidRPr="0092212F">
        <w:t xml:space="preserve">теристиками данного комплекса, </w:t>
      </w:r>
      <w:r w:rsidR="005A0BD2" w:rsidRPr="0092212F">
        <w:t>содержание</w:t>
      </w:r>
      <w:r w:rsidRPr="0092212F">
        <w:t xml:space="preserve"> вредных веществ изменяется с 200 </w:t>
      </w:r>
      <w:r w:rsidRPr="0092212F">
        <w:rPr>
          <w:rFonts w:eastAsia="Calibri"/>
          <w:shd w:val="clear" w:color="auto" w:fill="FFFFFF"/>
          <w:lang w:eastAsia="en-US"/>
        </w:rPr>
        <w:t>мг/дм</w:t>
      </w:r>
      <w:r w:rsidRPr="0092212F">
        <w:rPr>
          <w:rFonts w:eastAsia="Calibri"/>
          <w:shd w:val="clear" w:color="auto" w:fill="FFFFFF"/>
          <w:vertAlign w:val="superscript"/>
          <w:lang w:eastAsia="en-US"/>
        </w:rPr>
        <w:t>3</w:t>
      </w:r>
      <w:r w:rsidRPr="0092212F">
        <w:rPr>
          <w:rFonts w:eastAsia="Calibri"/>
          <w:shd w:val="clear" w:color="auto" w:fill="FFFFFF"/>
          <w:lang w:eastAsia="en-US"/>
        </w:rPr>
        <w:t xml:space="preserve"> до 0,1 -0,2 мг/дм</w:t>
      </w:r>
      <w:r w:rsidRPr="0092212F">
        <w:rPr>
          <w:rFonts w:eastAsia="Calibri"/>
          <w:shd w:val="clear" w:color="auto" w:fill="FFFFFF"/>
          <w:vertAlign w:val="superscript"/>
          <w:lang w:eastAsia="en-US"/>
        </w:rPr>
        <w:t>3</w:t>
      </w:r>
      <w:r w:rsidRPr="0092212F">
        <w:rPr>
          <w:rFonts w:eastAsia="Calibri"/>
          <w:shd w:val="clear" w:color="auto" w:fill="FFFFFF"/>
          <w:lang w:eastAsia="en-US"/>
        </w:rPr>
        <w:t xml:space="preserve"> после очистки </w:t>
      </w:r>
      <w:r w:rsidR="005A0BD2" w:rsidRPr="0092212F">
        <w:rPr>
          <w:rFonts w:eastAsia="Calibri"/>
          <w:lang w:eastAsia="en-US"/>
        </w:rPr>
        <w:t>[</w:t>
      </w:r>
      <w:r w:rsidR="00CC5D51" w:rsidRPr="0092212F">
        <w:rPr>
          <w:rFonts w:eastAsia="Calibri"/>
          <w:lang w:eastAsia="en-US"/>
        </w:rPr>
        <w:t>10</w:t>
      </w:r>
      <w:r w:rsidR="005A0BD2" w:rsidRPr="0092212F">
        <w:rPr>
          <w:rFonts w:eastAsia="Calibri"/>
          <w:lang w:eastAsia="en-US"/>
        </w:rPr>
        <w:t>]</w:t>
      </w:r>
    </w:p>
    <w:p w14:paraId="52617930" w14:textId="77777777" w:rsidR="005A0BD2" w:rsidRPr="0092212F" w:rsidRDefault="001706BF" w:rsidP="0092212F">
      <w:pPr>
        <w:ind w:firstLine="708"/>
        <w:jc w:val="both"/>
      </w:pPr>
      <w:r w:rsidRPr="0092212F">
        <w:lastRenderedPageBreak/>
        <w:t xml:space="preserve">Несмотря на то, что суммарная проектная мощность действующих очистных сооружений превышает фактическую нагрузку, степень очистки не позволяет предотвратить сброс значительной части загрязняющих веществ в водоемы. Причинами такой ситуации являются устаревшие технологии очистки сточных вод и отсутствие элементов доочистки на очистных сооружениях, неудовлетворительное техническое состояние отдельных элементов очистных сооружений. Работа очистных сооружений на предприятиях контролируется силами аккредитованных лабораторий, а также собственных аттестованных лабораторий предприятий. </w:t>
      </w:r>
      <w:r w:rsidR="00D37E07" w:rsidRPr="0092212F">
        <w:t>[11]</w:t>
      </w:r>
    </w:p>
    <w:p w14:paraId="0072F963" w14:textId="77777777" w:rsidR="00A624B6" w:rsidRPr="0092212F" w:rsidRDefault="00A624B6" w:rsidP="0092212F">
      <w:pPr>
        <w:ind w:firstLine="708"/>
        <w:jc w:val="both"/>
        <w:rPr>
          <w:rFonts w:eastAsia="Calibri"/>
          <w:lang w:eastAsia="en-US"/>
        </w:rPr>
      </w:pPr>
      <w:r w:rsidRPr="0092212F">
        <w:rPr>
          <w:rFonts w:eastAsia="Calibri"/>
          <w:lang w:eastAsia="en-US"/>
        </w:rPr>
        <w:t xml:space="preserve">С учетом </w:t>
      </w:r>
      <w:r w:rsidR="005A0BD2" w:rsidRPr="0092212F">
        <w:rPr>
          <w:rFonts w:eastAsia="Calibri"/>
          <w:lang w:eastAsia="en-US"/>
        </w:rPr>
        <w:t>роста</w:t>
      </w:r>
      <w:r w:rsidR="00F13524" w:rsidRPr="0092212F">
        <w:rPr>
          <w:rFonts w:eastAsia="Calibri"/>
          <w:lang w:eastAsia="en-US"/>
        </w:rPr>
        <w:t xml:space="preserve"> </w:t>
      </w:r>
      <w:r w:rsidR="005A0BD2" w:rsidRPr="0092212F">
        <w:rPr>
          <w:rFonts w:eastAsia="Calibri"/>
          <w:lang w:eastAsia="en-US"/>
        </w:rPr>
        <w:t>числа</w:t>
      </w:r>
      <w:r w:rsidR="00F13524" w:rsidRPr="0092212F">
        <w:rPr>
          <w:rFonts w:eastAsia="Calibri"/>
          <w:lang w:eastAsia="en-US"/>
        </w:rPr>
        <w:t xml:space="preserve"> гальванических </w:t>
      </w:r>
      <w:r w:rsidR="005A0BD2" w:rsidRPr="0092212F">
        <w:rPr>
          <w:rFonts w:eastAsia="Calibri"/>
          <w:lang w:eastAsia="en-US"/>
        </w:rPr>
        <w:t>операций у предприятий региона</w:t>
      </w:r>
      <w:r w:rsidR="00F13524" w:rsidRPr="0092212F">
        <w:rPr>
          <w:rFonts w:eastAsia="Calibri"/>
          <w:lang w:eastAsia="en-US"/>
        </w:rPr>
        <w:t xml:space="preserve"> могу</w:t>
      </w:r>
      <w:r w:rsidR="005A0BD2" w:rsidRPr="0092212F">
        <w:rPr>
          <w:rFonts w:eastAsia="Calibri"/>
          <w:lang w:eastAsia="en-US"/>
        </w:rPr>
        <w:t>т возникнуть следующие проблемы. Н</w:t>
      </w:r>
      <w:r w:rsidRPr="0092212F">
        <w:rPr>
          <w:rFonts w:eastAsia="Calibri"/>
          <w:lang w:eastAsia="en-US"/>
        </w:rPr>
        <w:t>аблюдаемая в ряде случаев предельно-допустимая концентрация загрязнителей на выходе из очистных сооружений, что в случае сбоя в работе или увеличения производственных мощнос</w:t>
      </w:r>
      <w:r w:rsidR="00F13524" w:rsidRPr="0092212F">
        <w:rPr>
          <w:rFonts w:eastAsia="Calibri"/>
          <w:lang w:eastAsia="en-US"/>
        </w:rPr>
        <w:t>тей может привести к попаданию вредных веществ</w:t>
      </w:r>
      <w:r w:rsidRPr="0092212F">
        <w:rPr>
          <w:rFonts w:eastAsia="Calibri"/>
          <w:lang w:eastAsia="en-US"/>
        </w:rPr>
        <w:t xml:space="preserve"> в городскую канализацию. </w:t>
      </w:r>
      <w:r w:rsidR="005A0BD2" w:rsidRPr="0092212F">
        <w:rPr>
          <w:rFonts w:eastAsia="Calibri"/>
          <w:lang w:eastAsia="en-US"/>
        </w:rPr>
        <w:t>И</w:t>
      </w:r>
      <w:r w:rsidRPr="0092212F">
        <w:rPr>
          <w:rFonts w:eastAsia="Calibri"/>
          <w:lang w:eastAsia="en-US"/>
        </w:rPr>
        <w:t xml:space="preserve">спользование устаревших методов водоочистки, которые </w:t>
      </w:r>
      <w:r w:rsidR="005A0BD2" w:rsidRPr="0092212F">
        <w:rPr>
          <w:rFonts w:eastAsia="Calibri"/>
          <w:lang w:eastAsia="en-US"/>
        </w:rPr>
        <w:t>необходимо</w:t>
      </w:r>
      <w:r w:rsidRPr="0092212F">
        <w:rPr>
          <w:rFonts w:eastAsia="Calibri"/>
          <w:lang w:eastAsia="en-US"/>
        </w:rPr>
        <w:t xml:space="preserve"> </w:t>
      </w:r>
      <w:r w:rsidR="00D85847" w:rsidRPr="0092212F">
        <w:rPr>
          <w:rFonts w:eastAsia="Calibri"/>
          <w:lang w:eastAsia="en-US"/>
        </w:rPr>
        <w:t xml:space="preserve">заменить на более современные, </w:t>
      </w:r>
      <w:r w:rsidRPr="0092212F">
        <w:rPr>
          <w:rFonts w:eastAsia="Calibri"/>
          <w:lang w:eastAsia="en-US"/>
        </w:rPr>
        <w:t xml:space="preserve">позволяющие многократно использовать растворы солей тяжелых металлов. </w:t>
      </w:r>
      <w:r w:rsidR="005A0BD2" w:rsidRPr="0092212F">
        <w:rPr>
          <w:rFonts w:eastAsia="Calibri"/>
          <w:lang w:eastAsia="en-US"/>
        </w:rPr>
        <w:t>У</w:t>
      </w:r>
      <w:r w:rsidRPr="0092212F">
        <w:rPr>
          <w:rFonts w:eastAsia="Calibri"/>
          <w:lang w:eastAsia="en-US"/>
        </w:rPr>
        <w:t>тилизаци</w:t>
      </w:r>
      <w:r w:rsidR="00F13524" w:rsidRPr="0092212F">
        <w:rPr>
          <w:rFonts w:eastAsia="Calibri"/>
          <w:lang w:eastAsia="en-US"/>
        </w:rPr>
        <w:t>я</w:t>
      </w:r>
      <w:r w:rsidRPr="0092212F">
        <w:rPr>
          <w:rFonts w:eastAsia="Calibri"/>
          <w:lang w:eastAsia="en-US"/>
        </w:rPr>
        <w:t xml:space="preserve"> токсичных осадков, захоронение которых чревато загрязнением почв токсичными элементами, способными изменять химические и биологические условия их существования, а также по цепям питания попадать в организм человека.</w:t>
      </w:r>
    </w:p>
    <w:p w14:paraId="55D6015D" w14:textId="77777777" w:rsidR="00D85847" w:rsidRPr="0092212F" w:rsidRDefault="00F13524" w:rsidP="0092212F">
      <w:pPr>
        <w:ind w:firstLine="708"/>
        <w:jc w:val="both"/>
        <w:rPr>
          <w:rFonts w:eastAsia="Calibri"/>
          <w:lang w:eastAsia="en-US"/>
        </w:rPr>
      </w:pPr>
      <w:r w:rsidRPr="0092212F">
        <w:rPr>
          <w:rFonts w:eastAsia="Calibri"/>
        </w:rPr>
        <w:t>Решением этих проблем может стать использование комбинированных систем очистки стоков с применением ионообменных и мембранных технологий.</w:t>
      </w:r>
      <w:r w:rsidR="00D85847" w:rsidRPr="0092212F">
        <w:rPr>
          <w:rFonts w:eastAsia="Calibri"/>
          <w:lang w:eastAsia="en-US"/>
        </w:rPr>
        <w:t xml:space="preserve"> Это позволило бы снизить затраты предприятий на приобретение, хранение, дозировку реагентов, а также очистку стоков. </w:t>
      </w:r>
    </w:p>
    <w:p w14:paraId="0DFF21AF" w14:textId="77777777" w:rsidR="00DD4CC2" w:rsidRPr="0092212F" w:rsidRDefault="00DD4CC2" w:rsidP="0092212F">
      <w:pPr>
        <w:pageBreakBefore/>
        <w:ind w:firstLine="709"/>
        <w:jc w:val="center"/>
        <w:rPr>
          <w:rFonts w:eastAsia="Calibri"/>
        </w:rPr>
      </w:pPr>
      <w:r w:rsidRPr="0092212F">
        <w:rPr>
          <w:rFonts w:eastAsia="Calibri"/>
        </w:rPr>
        <w:lastRenderedPageBreak/>
        <w:t>Список используемых источников</w:t>
      </w:r>
    </w:p>
    <w:p w14:paraId="0FBBEDCD" w14:textId="77777777" w:rsidR="00DD4CC2" w:rsidRPr="0092212F" w:rsidRDefault="00DD4CC2" w:rsidP="0092212F">
      <w:pPr>
        <w:pStyle w:val="a4"/>
        <w:numPr>
          <w:ilvl w:val="0"/>
          <w:numId w:val="1"/>
        </w:numPr>
        <w:rPr>
          <w:rFonts w:eastAsia="Calibri"/>
        </w:rPr>
      </w:pPr>
      <w:r w:rsidRPr="0092212F">
        <w:t>Сайт Федеральной службы государственной статистики по Тамбовской области</w:t>
      </w:r>
      <w:r w:rsidR="000A7944" w:rsidRPr="0092212F">
        <w:rPr>
          <w:rFonts w:eastAsia="Calibri"/>
        </w:rPr>
        <w:t xml:space="preserve"> [Электронный ресурс] - режим доступа:  </w:t>
      </w:r>
      <w:hyperlink r:id="rId5" w:history="1">
        <w:r w:rsidR="00110465" w:rsidRPr="0092212F">
          <w:rPr>
            <w:rStyle w:val="a9"/>
            <w:rFonts w:eastAsia="Calibri"/>
            <w:u w:val="none"/>
          </w:rPr>
          <w:t>http://tmb.gks.ru/wps/wcm/connect/rosstat_ts/tmb/resources/96f99600415a5116a955ada3e1dde74c/то+в+цифрах_.pdf</w:t>
        </w:r>
      </w:hyperlink>
      <w:r w:rsidR="00E70855" w:rsidRPr="0092212F">
        <w:rPr>
          <w:rFonts w:eastAsia="Calibri"/>
        </w:rPr>
        <w:t xml:space="preserve"> </w:t>
      </w:r>
      <w:r w:rsidR="00E70855" w:rsidRPr="0092212F">
        <w:t>(дата обращения 19.02.2019)</w:t>
      </w:r>
    </w:p>
    <w:p w14:paraId="379E7FEE" w14:textId="77777777" w:rsidR="00110465" w:rsidRPr="0092212F" w:rsidRDefault="00110465" w:rsidP="0092212F">
      <w:pPr>
        <w:pStyle w:val="a5"/>
        <w:numPr>
          <w:ilvl w:val="0"/>
          <w:numId w:val="1"/>
        </w:numPr>
        <w:rPr>
          <w:rFonts w:eastAsia="Calibri"/>
          <w:lang w:eastAsia="en-US"/>
        </w:rPr>
      </w:pPr>
      <w:r w:rsidRPr="0092212F">
        <w:rPr>
          <w:rFonts w:eastAsia="Calibri"/>
          <w:lang w:eastAsia="en-US"/>
        </w:rPr>
        <w:t>Москалева,</w:t>
      </w:r>
      <w:r w:rsidR="00E70855" w:rsidRPr="0092212F">
        <w:rPr>
          <w:rFonts w:eastAsia="Calibri"/>
          <w:lang w:eastAsia="en-US"/>
        </w:rPr>
        <w:t xml:space="preserve"> О.А.  </w:t>
      </w:r>
      <w:r w:rsidRPr="0092212F">
        <w:rPr>
          <w:rFonts w:eastAsia="Calibri"/>
          <w:lang w:eastAsia="en-US"/>
        </w:rPr>
        <w:t xml:space="preserve"> Очистка сточной воды от солей тяжелых металлов на ОАО ТЗ «Октябрь»</w:t>
      </w:r>
      <w:r w:rsidR="00CC5D51" w:rsidRPr="0092212F">
        <w:rPr>
          <w:rFonts w:eastAsia="Calibri"/>
          <w:lang w:eastAsia="en-US"/>
        </w:rPr>
        <w:t xml:space="preserve"> </w:t>
      </w:r>
      <w:r w:rsidR="00E70855" w:rsidRPr="0092212F">
        <w:rPr>
          <w:rFonts w:eastAsia="Calibri"/>
          <w:lang w:eastAsia="en-US"/>
        </w:rPr>
        <w:t xml:space="preserve">/ О.А. </w:t>
      </w:r>
      <w:proofErr w:type="gramStart"/>
      <w:r w:rsidR="00E70855" w:rsidRPr="0092212F">
        <w:rPr>
          <w:rFonts w:eastAsia="Calibri"/>
          <w:lang w:eastAsia="en-US"/>
        </w:rPr>
        <w:t xml:space="preserve">Москалева,   </w:t>
      </w:r>
      <w:proofErr w:type="gramEnd"/>
      <w:r w:rsidR="00E70855" w:rsidRPr="0092212F">
        <w:rPr>
          <w:rFonts w:eastAsia="Calibri"/>
          <w:lang w:eastAsia="en-US"/>
        </w:rPr>
        <w:t xml:space="preserve">Е.Д. Таныгина,  П.Н. </w:t>
      </w:r>
      <w:proofErr w:type="spellStart"/>
      <w:r w:rsidR="00E70855" w:rsidRPr="0092212F">
        <w:rPr>
          <w:rFonts w:eastAsia="Calibri"/>
          <w:lang w:eastAsia="en-US"/>
        </w:rPr>
        <w:t>Бернацкий</w:t>
      </w:r>
      <w:proofErr w:type="spellEnd"/>
      <w:r w:rsidR="00CC5D51" w:rsidRPr="0092212F">
        <w:rPr>
          <w:rFonts w:eastAsia="Calibri"/>
          <w:lang w:eastAsia="en-US"/>
        </w:rPr>
        <w:t>//</w:t>
      </w:r>
      <w:r w:rsidR="00E70855" w:rsidRPr="0092212F">
        <w:rPr>
          <w:rFonts w:eastAsia="Calibri"/>
          <w:lang w:eastAsia="en-US"/>
        </w:rPr>
        <w:t xml:space="preserve"> </w:t>
      </w:r>
      <w:r w:rsidRPr="0092212F">
        <w:rPr>
          <w:rFonts w:eastAsia="Calibri"/>
          <w:lang w:eastAsia="en-US"/>
        </w:rPr>
        <w:t>Вестник ТГУ</w:t>
      </w:r>
      <w:r w:rsidR="00CC5D51" w:rsidRPr="0092212F">
        <w:rPr>
          <w:rFonts w:eastAsia="Calibri"/>
          <w:lang w:eastAsia="en-US"/>
        </w:rPr>
        <w:t xml:space="preserve"> – 2014 -</w:t>
      </w:r>
      <w:r w:rsidRPr="0092212F">
        <w:rPr>
          <w:rFonts w:eastAsia="Calibri"/>
          <w:lang w:eastAsia="en-US"/>
        </w:rPr>
        <w:t xml:space="preserve"> т.19, </w:t>
      </w:r>
      <w:r w:rsidR="00CC5D51" w:rsidRPr="0092212F">
        <w:rPr>
          <w:rFonts w:eastAsia="Calibri"/>
          <w:lang w:eastAsia="en-US"/>
        </w:rPr>
        <w:t>№</w:t>
      </w:r>
      <w:r w:rsidRPr="0092212F">
        <w:rPr>
          <w:rFonts w:eastAsia="Calibri"/>
          <w:lang w:eastAsia="en-US"/>
        </w:rPr>
        <w:t>2</w:t>
      </w:r>
      <w:r w:rsidR="00CC5D51" w:rsidRPr="0092212F">
        <w:rPr>
          <w:rFonts w:eastAsia="Calibri"/>
          <w:lang w:eastAsia="en-US"/>
        </w:rPr>
        <w:t>.</w:t>
      </w:r>
    </w:p>
    <w:p w14:paraId="569E989D" w14:textId="77777777" w:rsidR="00110465" w:rsidRPr="0092212F" w:rsidRDefault="00110465" w:rsidP="0092212F">
      <w:pPr>
        <w:pStyle w:val="a5"/>
        <w:numPr>
          <w:ilvl w:val="0"/>
          <w:numId w:val="1"/>
        </w:numPr>
        <w:rPr>
          <w:rFonts w:eastAsia="Calibri"/>
          <w:lang w:eastAsia="en-US"/>
        </w:rPr>
      </w:pPr>
      <w:r w:rsidRPr="0092212F">
        <w:rPr>
          <w:bCs/>
          <w:color w:val="000000"/>
          <w:shd w:val="clear" w:color="auto" w:fill="F1F1F1"/>
        </w:rPr>
        <w:t>Официальный сайт АО "Тамбовский завод "Октябрь</w:t>
      </w:r>
      <w:r w:rsidR="000A7944" w:rsidRPr="0092212F">
        <w:rPr>
          <w:bCs/>
          <w:color w:val="000000"/>
          <w:shd w:val="clear" w:color="auto" w:fill="F1F1F1"/>
        </w:rPr>
        <w:t xml:space="preserve"> </w:t>
      </w:r>
      <w:proofErr w:type="gramStart"/>
      <w:r w:rsidRPr="0092212F">
        <w:rPr>
          <w:bCs/>
          <w:color w:val="000000"/>
          <w:shd w:val="clear" w:color="auto" w:fill="F1F1F1"/>
        </w:rPr>
        <w:t xml:space="preserve">" </w:t>
      </w:r>
      <w:r w:rsidR="000A7944" w:rsidRPr="0092212F">
        <w:rPr>
          <w:bCs/>
          <w:color w:val="000000"/>
          <w:shd w:val="clear" w:color="auto" w:fill="F1F1F1"/>
        </w:rPr>
        <w:t xml:space="preserve"> </w:t>
      </w:r>
      <w:r w:rsidR="000A7944" w:rsidRPr="0092212F">
        <w:rPr>
          <w:rFonts w:eastAsia="Calibri"/>
        </w:rPr>
        <w:t>[</w:t>
      </w:r>
      <w:proofErr w:type="gramEnd"/>
      <w:r w:rsidR="000A7944" w:rsidRPr="0092212F">
        <w:rPr>
          <w:rFonts w:eastAsia="Calibri"/>
        </w:rPr>
        <w:t xml:space="preserve">Электронный ресурс] </w:t>
      </w:r>
      <w:r w:rsidR="00E70855" w:rsidRPr="0092212F">
        <w:rPr>
          <w:rFonts w:eastAsia="Calibri"/>
        </w:rPr>
        <w:t xml:space="preserve">- режим доступа: </w:t>
      </w:r>
      <w:hyperlink r:id="rId6" w:history="1">
        <w:r w:rsidR="001236EF" w:rsidRPr="0092212F">
          <w:rPr>
            <w:rStyle w:val="a9"/>
            <w:rFonts w:eastAsia="Calibri"/>
            <w:u w:val="none"/>
            <w:lang w:eastAsia="en-US"/>
          </w:rPr>
          <w:t>http://oktabr-tz.ru</w:t>
        </w:r>
      </w:hyperlink>
      <w:r w:rsidR="00E70855" w:rsidRPr="0092212F">
        <w:rPr>
          <w:rFonts w:eastAsia="Calibri"/>
          <w:lang w:eastAsia="en-US"/>
        </w:rPr>
        <w:t xml:space="preserve">  </w:t>
      </w:r>
      <w:r w:rsidR="00E70855" w:rsidRPr="0092212F">
        <w:t>(дата обращения 19.02.2019)</w:t>
      </w:r>
    </w:p>
    <w:p w14:paraId="1D519FFF" w14:textId="77777777" w:rsidR="001236EF" w:rsidRPr="0092212F" w:rsidRDefault="001236EF" w:rsidP="0092212F">
      <w:pPr>
        <w:pStyle w:val="a5"/>
        <w:numPr>
          <w:ilvl w:val="0"/>
          <w:numId w:val="1"/>
        </w:numPr>
        <w:rPr>
          <w:rFonts w:eastAsia="Calibri"/>
          <w:lang w:eastAsia="en-US"/>
        </w:rPr>
      </w:pPr>
      <w:r w:rsidRPr="0092212F">
        <w:rPr>
          <w:rFonts w:eastAsia="Calibri"/>
          <w:lang w:eastAsia="en-US"/>
        </w:rPr>
        <w:t xml:space="preserve">Сайт регистрации тендеров государственных предприятий </w:t>
      </w:r>
      <w:r w:rsidR="000A7944" w:rsidRPr="0092212F">
        <w:rPr>
          <w:rFonts w:eastAsia="Calibri"/>
        </w:rPr>
        <w:t xml:space="preserve">[Электронный ресурс] </w:t>
      </w:r>
      <w:r w:rsidR="00E70855" w:rsidRPr="0092212F">
        <w:rPr>
          <w:rFonts w:eastAsia="Calibri"/>
        </w:rPr>
        <w:t xml:space="preserve">- режим доступа: </w:t>
      </w:r>
      <w:hyperlink r:id="rId7" w:history="1">
        <w:r w:rsidR="00F42760" w:rsidRPr="0092212F">
          <w:rPr>
            <w:rStyle w:val="a9"/>
            <w:rFonts w:eastAsia="Calibri"/>
            <w:u w:val="none"/>
            <w:lang w:eastAsia="en-US"/>
          </w:rPr>
          <w:t>http://rostender.info/category/tendery-oao-tz-oktyabr-11903</w:t>
        </w:r>
      </w:hyperlink>
      <w:r w:rsidR="00E70855" w:rsidRPr="0092212F">
        <w:rPr>
          <w:rFonts w:eastAsia="Calibri"/>
          <w:lang w:eastAsia="en-US"/>
        </w:rPr>
        <w:t xml:space="preserve"> </w:t>
      </w:r>
      <w:r w:rsidR="00E70855" w:rsidRPr="0092212F">
        <w:t>(дата обращения 19.02.2019)</w:t>
      </w:r>
    </w:p>
    <w:p w14:paraId="5F73AEC2" w14:textId="77777777" w:rsidR="00F42760" w:rsidRPr="0092212F" w:rsidRDefault="00F42760" w:rsidP="0092212F">
      <w:pPr>
        <w:pStyle w:val="a5"/>
        <w:numPr>
          <w:ilvl w:val="0"/>
          <w:numId w:val="1"/>
        </w:numPr>
        <w:rPr>
          <w:rFonts w:eastAsia="Calibri"/>
          <w:lang w:eastAsia="en-US"/>
        </w:rPr>
      </w:pPr>
      <w:r w:rsidRPr="0092212F">
        <w:rPr>
          <w:rFonts w:eastAsia="Calibri"/>
          <w:lang w:eastAsia="en-US"/>
        </w:rPr>
        <w:t xml:space="preserve">Официальный сайт ОАО «Корпорация </w:t>
      </w:r>
      <w:proofErr w:type="spellStart"/>
      <w:r w:rsidRPr="0092212F">
        <w:rPr>
          <w:rFonts w:eastAsia="Calibri"/>
          <w:lang w:eastAsia="en-US"/>
        </w:rPr>
        <w:t>Росхимзащита</w:t>
      </w:r>
      <w:proofErr w:type="spellEnd"/>
      <w:r w:rsidRPr="0092212F">
        <w:rPr>
          <w:rFonts w:eastAsia="Calibri"/>
          <w:lang w:eastAsia="en-US"/>
        </w:rPr>
        <w:t xml:space="preserve">» </w:t>
      </w:r>
      <w:r w:rsidR="000A7944" w:rsidRPr="0092212F">
        <w:rPr>
          <w:rFonts w:eastAsia="Calibri"/>
        </w:rPr>
        <w:t>[Электронный ресурс]</w:t>
      </w:r>
      <w:r w:rsidR="00E70855" w:rsidRPr="0092212F">
        <w:rPr>
          <w:rFonts w:eastAsia="Calibri"/>
        </w:rPr>
        <w:t xml:space="preserve"> - режим доступа: </w:t>
      </w:r>
      <w:hyperlink r:id="rId8" w:history="1">
        <w:r w:rsidRPr="0092212F">
          <w:rPr>
            <w:rStyle w:val="a9"/>
            <w:rFonts w:eastAsia="Calibri"/>
            <w:u w:val="none"/>
            <w:lang w:eastAsia="en-US"/>
          </w:rPr>
          <w:t>http://крхз.рф/obshaya-dokumentatsiya/</w:t>
        </w:r>
      </w:hyperlink>
      <w:r w:rsidR="00E70855" w:rsidRPr="0092212F">
        <w:rPr>
          <w:rFonts w:eastAsia="Calibri"/>
          <w:lang w:eastAsia="en-US"/>
        </w:rPr>
        <w:t xml:space="preserve"> </w:t>
      </w:r>
      <w:r w:rsidR="00E70855" w:rsidRPr="0092212F">
        <w:t>(дата обращения 19.02.2019)</w:t>
      </w:r>
    </w:p>
    <w:p w14:paraId="7404405C" w14:textId="77777777" w:rsidR="00F42760" w:rsidRPr="0092212F" w:rsidRDefault="00F42760" w:rsidP="0092212F">
      <w:pPr>
        <w:pStyle w:val="a5"/>
        <w:numPr>
          <w:ilvl w:val="0"/>
          <w:numId w:val="1"/>
        </w:numPr>
        <w:rPr>
          <w:rFonts w:eastAsia="Calibri"/>
          <w:lang w:eastAsia="en-US"/>
        </w:rPr>
      </w:pPr>
      <w:r w:rsidRPr="0092212F">
        <w:rPr>
          <w:rFonts w:eastAsia="Calibri"/>
          <w:lang w:eastAsia="en-US"/>
        </w:rPr>
        <w:t>Сайт регистрации тендеров государственных предприятий</w:t>
      </w:r>
      <w:r w:rsidR="000A7944" w:rsidRPr="0092212F">
        <w:rPr>
          <w:rFonts w:eastAsia="Calibri"/>
          <w:lang w:eastAsia="en-US"/>
        </w:rPr>
        <w:t xml:space="preserve"> </w:t>
      </w:r>
      <w:r w:rsidR="000A7944" w:rsidRPr="0092212F">
        <w:rPr>
          <w:rFonts w:eastAsia="Calibri"/>
        </w:rPr>
        <w:t>[Электронный ресурс]</w:t>
      </w:r>
      <w:r w:rsidRPr="0092212F">
        <w:rPr>
          <w:rFonts w:eastAsia="Calibri"/>
          <w:lang w:eastAsia="en-US"/>
        </w:rPr>
        <w:t xml:space="preserve"> </w:t>
      </w:r>
      <w:r w:rsidR="00E70855" w:rsidRPr="0092212F">
        <w:rPr>
          <w:rFonts w:eastAsia="Calibri"/>
        </w:rPr>
        <w:t xml:space="preserve">- режим доступа: </w:t>
      </w:r>
      <w:hyperlink r:id="rId9" w:history="1">
        <w:r w:rsidRPr="0092212F">
          <w:rPr>
            <w:rStyle w:val="a9"/>
            <w:rFonts w:eastAsia="Calibri"/>
            <w:u w:val="none"/>
            <w:lang w:eastAsia="en-US"/>
          </w:rPr>
          <w:t>http://rostender.info/category/tendery-oao-korporaciya-roshimzashchita-9975?pg=1</w:t>
        </w:r>
      </w:hyperlink>
      <w:r w:rsidR="00E70855" w:rsidRPr="0092212F">
        <w:rPr>
          <w:rFonts w:eastAsia="Calibri"/>
          <w:lang w:eastAsia="en-US"/>
        </w:rPr>
        <w:t xml:space="preserve"> </w:t>
      </w:r>
      <w:r w:rsidR="00E70855" w:rsidRPr="0092212F">
        <w:t>(дата обращения 19.02.2019)</w:t>
      </w:r>
    </w:p>
    <w:p w14:paraId="6225FB3C" w14:textId="77777777" w:rsidR="008D0F49" w:rsidRPr="0092212F" w:rsidRDefault="008D0F49" w:rsidP="0092212F">
      <w:pPr>
        <w:pStyle w:val="a5"/>
        <w:numPr>
          <w:ilvl w:val="0"/>
          <w:numId w:val="1"/>
        </w:numPr>
        <w:rPr>
          <w:rFonts w:eastAsia="Calibri"/>
        </w:rPr>
      </w:pPr>
      <w:r w:rsidRPr="0092212F">
        <w:t>Рязанов</w:t>
      </w:r>
      <w:r w:rsidR="00E70855" w:rsidRPr="0092212F">
        <w:t>, А.В.</w:t>
      </w:r>
      <w:r w:rsidRPr="0092212F">
        <w:t xml:space="preserve"> Экологические аспекты функционирования ОАО «Тамбовский завод «электроприбор»</w:t>
      </w:r>
      <w:r w:rsidR="00E70855" w:rsidRPr="0092212F">
        <w:t xml:space="preserve"> /</w:t>
      </w:r>
      <w:r w:rsidR="002D740B" w:rsidRPr="0092212F">
        <w:rPr>
          <w:shd w:val="clear" w:color="auto" w:fill="FFFFFF"/>
        </w:rPr>
        <w:t xml:space="preserve"> </w:t>
      </w:r>
      <w:r w:rsidR="00E70855" w:rsidRPr="0092212F">
        <w:t xml:space="preserve">А.В. Рязанов </w:t>
      </w:r>
      <w:r w:rsidR="002D740B" w:rsidRPr="0092212F">
        <w:rPr>
          <w:shd w:val="clear" w:color="auto" w:fill="FFFFFF"/>
        </w:rPr>
        <w:t>//</w:t>
      </w:r>
      <w:r w:rsidRPr="0092212F">
        <w:t xml:space="preserve"> Вестник ТГУ</w:t>
      </w:r>
      <w:r w:rsidR="00E70855" w:rsidRPr="0092212F">
        <w:t xml:space="preserve"> - 2011 -</w:t>
      </w:r>
      <w:r w:rsidRPr="0092212F">
        <w:t xml:space="preserve"> т.16, </w:t>
      </w:r>
      <w:r w:rsidR="00E70855" w:rsidRPr="0092212F">
        <w:t xml:space="preserve">№ </w:t>
      </w:r>
      <w:r w:rsidR="00CC5D51" w:rsidRPr="0092212F">
        <w:t>2.</w:t>
      </w:r>
    </w:p>
    <w:p w14:paraId="662429B3" w14:textId="77777777" w:rsidR="008D0F49" w:rsidRPr="0092212F" w:rsidRDefault="008D0F49" w:rsidP="0092212F">
      <w:pPr>
        <w:pStyle w:val="a5"/>
        <w:numPr>
          <w:ilvl w:val="0"/>
          <w:numId w:val="1"/>
        </w:numPr>
      </w:pPr>
      <w:r w:rsidRPr="0092212F">
        <w:t>Справочная  система по всем российским компаниям и предпринимателям</w:t>
      </w:r>
      <w:r w:rsidR="000A7944" w:rsidRPr="0092212F">
        <w:t xml:space="preserve"> </w:t>
      </w:r>
      <w:r w:rsidR="000A7944" w:rsidRPr="0092212F">
        <w:rPr>
          <w:rFonts w:eastAsia="Calibri"/>
        </w:rPr>
        <w:t>[Электронный ресурс]</w:t>
      </w:r>
      <w:r w:rsidRPr="0092212F">
        <w:t xml:space="preserve"> </w:t>
      </w:r>
      <w:r w:rsidR="00E70855" w:rsidRPr="0092212F">
        <w:rPr>
          <w:rFonts w:eastAsia="Calibri"/>
        </w:rPr>
        <w:t xml:space="preserve">- режим доступа: </w:t>
      </w:r>
      <w:hyperlink r:id="rId10" w:history="1">
        <w:r w:rsidR="00E73E82" w:rsidRPr="0092212F">
          <w:rPr>
            <w:rStyle w:val="a9"/>
            <w:u w:val="none"/>
          </w:rPr>
          <w:t>https://www.rusprofile.ru/inspections/4038539</w:t>
        </w:r>
      </w:hyperlink>
      <w:r w:rsidR="00E70855" w:rsidRPr="0092212F">
        <w:t xml:space="preserve"> (дата обращения 19.02.2019)</w:t>
      </w:r>
    </w:p>
    <w:p w14:paraId="1460B05D" w14:textId="77777777" w:rsidR="00E73E82" w:rsidRPr="0092212F" w:rsidRDefault="00E73E82" w:rsidP="0092212F">
      <w:pPr>
        <w:pStyle w:val="a5"/>
        <w:numPr>
          <w:ilvl w:val="0"/>
          <w:numId w:val="1"/>
        </w:numPr>
      </w:pPr>
      <w:proofErr w:type="gramStart"/>
      <w:r w:rsidRPr="0092212F">
        <w:rPr>
          <w:bCs/>
          <w:shd w:val="clear" w:color="auto" w:fill="FFFFFF"/>
        </w:rPr>
        <w:t>Жарова,</w:t>
      </w:r>
      <w:r w:rsidR="00CC5D51" w:rsidRPr="0092212F">
        <w:rPr>
          <w:bCs/>
          <w:shd w:val="clear" w:color="auto" w:fill="FFFFFF"/>
        </w:rPr>
        <w:t xml:space="preserve">  Н.В.</w:t>
      </w:r>
      <w:proofErr w:type="gramEnd"/>
      <w:r w:rsidR="00CC5D51" w:rsidRPr="0092212F">
        <w:rPr>
          <w:bCs/>
          <w:shd w:val="clear" w:color="auto" w:fill="FFFFFF"/>
        </w:rPr>
        <w:t xml:space="preserve"> </w:t>
      </w:r>
      <w:r w:rsidR="002D740B" w:rsidRPr="0092212F">
        <w:rPr>
          <w:bCs/>
          <w:shd w:val="clear" w:color="auto" w:fill="FFFFFF"/>
        </w:rPr>
        <w:t xml:space="preserve"> </w:t>
      </w:r>
      <w:hyperlink r:id="rId11" w:history="1">
        <w:r w:rsidRPr="0092212F">
          <w:rPr>
            <w:shd w:val="clear" w:color="auto" w:fill="FFFFFF"/>
          </w:rPr>
          <w:t xml:space="preserve">Исследование влияния ионообменных смол на степень очистки </w:t>
        </w:r>
        <w:proofErr w:type="spellStart"/>
        <w:r w:rsidRPr="0092212F">
          <w:rPr>
            <w:shd w:val="clear" w:color="auto" w:fill="FFFFFF"/>
          </w:rPr>
          <w:t>гальваностоков</w:t>
        </w:r>
        <w:proofErr w:type="spellEnd"/>
      </w:hyperlink>
      <w:r w:rsidR="00CC5D51" w:rsidRPr="0092212F">
        <w:t>/</w:t>
      </w:r>
      <w:r w:rsidRPr="0092212F">
        <w:rPr>
          <w:shd w:val="clear" w:color="auto" w:fill="FFFFFF"/>
        </w:rPr>
        <w:t> </w:t>
      </w:r>
      <w:r w:rsidR="00CC5D51" w:rsidRPr="0092212F">
        <w:rPr>
          <w:bCs/>
          <w:shd w:val="clear" w:color="auto" w:fill="FFFFFF"/>
        </w:rPr>
        <w:t xml:space="preserve">Н.В. Жарова, Н.П. </w:t>
      </w:r>
      <w:proofErr w:type="spellStart"/>
      <w:r w:rsidR="00CC5D51" w:rsidRPr="0092212F">
        <w:rPr>
          <w:bCs/>
          <w:shd w:val="clear" w:color="auto" w:fill="FFFFFF"/>
        </w:rPr>
        <w:t>Каптилова</w:t>
      </w:r>
      <w:proofErr w:type="spellEnd"/>
      <w:r w:rsidR="00CC5D51" w:rsidRPr="0092212F">
        <w:rPr>
          <w:bCs/>
          <w:shd w:val="clear" w:color="auto" w:fill="FFFFFF"/>
        </w:rPr>
        <w:t>, С.И.</w:t>
      </w:r>
      <w:r w:rsidR="00CC5D51" w:rsidRPr="0092212F">
        <w:rPr>
          <w:shd w:val="clear" w:color="auto" w:fill="FFFFFF"/>
        </w:rPr>
        <w:t> </w:t>
      </w:r>
      <w:r w:rsidR="00CC5D51" w:rsidRPr="0092212F">
        <w:rPr>
          <w:bCs/>
          <w:shd w:val="clear" w:color="auto" w:fill="FFFFFF"/>
        </w:rPr>
        <w:t xml:space="preserve"> </w:t>
      </w:r>
      <w:proofErr w:type="spellStart"/>
      <w:r w:rsidR="00CC5D51" w:rsidRPr="0092212F">
        <w:rPr>
          <w:bCs/>
          <w:shd w:val="clear" w:color="auto" w:fill="FFFFFF"/>
        </w:rPr>
        <w:t>Пестрецов</w:t>
      </w:r>
      <w:proofErr w:type="spellEnd"/>
      <w:r w:rsidR="00CC5D51" w:rsidRPr="0092212F">
        <w:rPr>
          <w:shd w:val="clear" w:color="auto" w:fill="FFFFFF"/>
        </w:rPr>
        <w:t xml:space="preserve"> </w:t>
      </w:r>
      <w:r w:rsidRPr="0092212F">
        <w:rPr>
          <w:shd w:val="clear" w:color="auto" w:fill="FFFFFF"/>
        </w:rPr>
        <w:t>// Труды ТГТУ. Выпуск №15 / Тамбов. Издательство ТГТУ / 2004. </w:t>
      </w:r>
    </w:p>
    <w:p w14:paraId="5C5AAEAF" w14:textId="77777777" w:rsidR="00E73E82" w:rsidRPr="0092212F" w:rsidRDefault="00E73E82" w:rsidP="0092212F">
      <w:pPr>
        <w:pStyle w:val="a5"/>
        <w:numPr>
          <w:ilvl w:val="0"/>
          <w:numId w:val="1"/>
        </w:numPr>
      </w:pPr>
      <w:r w:rsidRPr="0092212F">
        <w:rPr>
          <w:shd w:val="clear" w:color="auto" w:fill="FFFFFF"/>
        </w:rPr>
        <w:t xml:space="preserve"> </w:t>
      </w:r>
      <w:r w:rsidR="00DC365A" w:rsidRPr="0092212F">
        <w:rPr>
          <w:shd w:val="clear" w:color="auto" w:fill="FFFFFF"/>
        </w:rPr>
        <w:t xml:space="preserve">Руководство по эксплуатации 6231.00.000-01 РЭ. </w:t>
      </w:r>
      <w:r w:rsidRPr="0092212F">
        <w:rPr>
          <w:shd w:val="clear" w:color="auto" w:fill="FFFFFF"/>
        </w:rPr>
        <w:t>Комплекс очистки стоков КОС-17М.</w:t>
      </w:r>
      <w:r w:rsidR="00DC365A" w:rsidRPr="0092212F">
        <w:rPr>
          <w:shd w:val="clear" w:color="auto" w:fill="FFFFFF"/>
        </w:rPr>
        <w:t xml:space="preserve"> ОАО «</w:t>
      </w:r>
      <w:proofErr w:type="spellStart"/>
      <w:r w:rsidR="00DC365A" w:rsidRPr="0092212F">
        <w:rPr>
          <w:shd w:val="clear" w:color="auto" w:fill="FFFFFF"/>
        </w:rPr>
        <w:t>Тамбовгальванотехника</w:t>
      </w:r>
      <w:proofErr w:type="spellEnd"/>
      <w:r w:rsidR="00DC365A" w:rsidRPr="0092212F">
        <w:rPr>
          <w:shd w:val="clear" w:color="auto" w:fill="FFFFFF"/>
        </w:rPr>
        <w:t>».</w:t>
      </w:r>
      <w:r w:rsidR="002D740B" w:rsidRPr="0092212F">
        <w:rPr>
          <w:shd w:val="clear" w:color="auto" w:fill="FFFFFF"/>
        </w:rPr>
        <w:t xml:space="preserve"> Тамбов / </w:t>
      </w:r>
      <w:r w:rsidR="00DC365A" w:rsidRPr="0092212F">
        <w:rPr>
          <w:shd w:val="clear" w:color="auto" w:fill="FFFFFF"/>
        </w:rPr>
        <w:t>2002.</w:t>
      </w:r>
    </w:p>
    <w:p w14:paraId="1DEC53AE" w14:textId="77777777" w:rsidR="000A7944" w:rsidRPr="0092212F" w:rsidRDefault="00D85847" w:rsidP="0092212F">
      <w:pPr>
        <w:pStyle w:val="a5"/>
        <w:numPr>
          <w:ilvl w:val="0"/>
          <w:numId w:val="1"/>
        </w:numPr>
        <w:rPr>
          <w:rFonts w:eastAsia="Calibri"/>
          <w:lang w:eastAsia="en-US"/>
        </w:rPr>
      </w:pPr>
      <w:r w:rsidRPr="0092212F">
        <w:rPr>
          <w:rFonts w:eastAsia="Calibri"/>
        </w:rPr>
        <w:t>Доклад о состоянии окружающей среды по Тамбовской области.</w:t>
      </w:r>
      <w:r w:rsidR="00E70855" w:rsidRPr="0092212F">
        <w:rPr>
          <w:rFonts w:eastAsia="Calibri"/>
        </w:rPr>
        <w:t xml:space="preserve"> [Электронный ресурс]</w:t>
      </w:r>
      <w:r w:rsidR="00E70855" w:rsidRPr="0092212F">
        <w:t xml:space="preserve"> </w:t>
      </w:r>
      <w:r w:rsidRPr="0092212F">
        <w:rPr>
          <w:rFonts w:eastAsia="Calibri"/>
        </w:rPr>
        <w:t xml:space="preserve"> </w:t>
      </w:r>
      <w:r w:rsidR="00E70855" w:rsidRPr="0092212F">
        <w:rPr>
          <w:rFonts w:eastAsia="Calibri"/>
        </w:rPr>
        <w:t xml:space="preserve">- режим доступа: </w:t>
      </w:r>
      <w:hyperlink r:id="rId12" w:history="1">
        <w:r w:rsidR="00CC5D51" w:rsidRPr="0092212F">
          <w:rPr>
            <w:rStyle w:val="a9"/>
            <w:rFonts w:eastAsia="Calibri"/>
            <w:lang w:eastAsia="en-US"/>
          </w:rPr>
          <w:t>http://opr.tmbreg.ru/assets/files/Documents/Departmental/2017/Doklad_2017/pdf</w:t>
        </w:r>
      </w:hyperlink>
      <w:r w:rsidR="00CC5D51" w:rsidRPr="0092212F">
        <w:rPr>
          <w:rFonts w:eastAsia="Calibri"/>
          <w:lang w:eastAsia="en-US"/>
        </w:rPr>
        <w:t>/</w:t>
      </w:r>
      <w:r w:rsidR="00E70855" w:rsidRPr="0092212F">
        <w:rPr>
          <w:rFonts w:eastAsia="Calibri"/>
          <w:lang w:eastAsia="en-US"/>
        </w:rPr>
        <w:t xml:space="preserve">  </w:t>
      </w:r>
      <w:r w:rsidR="00E70855" w:rsidRPr="0092212F">
        <w:t>(дата обращения 19.02.2019).</w:t>
      </w:r>
    </w:p>
    <w:sectPr w:rsidR="000A7944" w:rsidRPr="0092212F" w:rsidSect="0092212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3619"/>
    <w:multiLevelType w:val="hybridMultilevel"/>
    <w:tmpl w:val="CE3C81CC"/>
    <w:lvl w:ilvl="0" w:tplc="166C7D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EBE"/>
    <w:rsid w:val="00083215"/>
    <w:rsid w:val="000A7944"/>
    <w:rsid w:val="000C321F"/>
    <w:rsid w:val="00110465"/>
    <w:rsid w:val="00114F4E"/>
    <w:rsid w:val="001236EF"/>
    <w:rsid w:val="00140637"/>
    <w:rsid w:val="001706BF"/>
    <w:rsid w:val="001B1FC2"/>
    <w:rsid w:val="001B4B32"/>
    <w:rsid w:val="001F62F8"/>
    <w:rsid w:val="002C4D65"/>
    <w:rsid w:val="002C53C3"/>
    <w:rsid w:val="002D740B"/>
    <w:rsid w:val="004A092F"/>
    <w:rsid w:val="004D7A50"/>
    <w:rsid w:val="00516EB4"/>
    <w:rsid w:val="00591CCE"/>
    <w:rsid w:val="005A0BD2"/>
    <w:rsid w:val="005A3BF9"/>
    <w:rsid w:val="006C0FBC"/>
    <w:rsid w:val="00724734"/>
    <w:rsid w:val="007646D9"/>
    <w:rsid w:val="007663A6"/>
    <w:rsid w:val="00783270"/>
    <w:rsid w:val="007B5471"/>
    <w:rsid w:val="00862874"/>
    <w:rsid w:val="00887783"/>
    <w:rsid w:val="00890266"/>
    <w:rsid w:val="008C2AFA"/>
    <w:rsid w:val="008D0F49"/>
    <w:rsid w:val="00905120"/>
    <w:rsid w:val="00912542"/>
    <w:rsid w:val="0092212F"/>
    <w:rsid w:val="00940D4C"/>
    <w:rsid w:val="009F2A08"/>
    <w:rsid w:val="00A51EF8"/>
    <w:rsid w:val="00A56C77"/>
    <w:rsid w:val="00A624B6"/>
    <w:rsid w:val="00A97F22"/>
    <w:rsid w:val="00B075AF"/>
    <w:rsid w:val="00B51D29"/>
    <w:rsid w:val="00B87E8D"/>
    <w:rsid w:val="00BF48C7"/>
    <w:rsid w:val="00C82BAD"/>
    <w:rsid w:val="00CC5D51"/>
    <w:rsid w:val="00CD30A2"/>
    <w:rsid w:val="00D250FC"/>
    <w:rsid w:val="00D27B03"/>
    <w:rsid w:val="00D37E07"/>
    <w:rsid w:val="00D80EBE"/>
    <w:rsid w:val="00D85847"/>
    <w:rsid w:val="00DC365A"/>
    <w:rsid w:val="00DD4CC2"/>
    <w:rsid w:val="00E1746D"/>
    <w:rsid w:val="00E43B79"/>
    <w:rsid w:val="00E70855"/>
    <w:rsid w:val="00E73E82"/>
    <w:rsid w:val="00EB77DC"/>
    <w:rsid w:val="00F02E29"/>
    <w:rsid w:val="00F13524"/>
    <w:rsid w:val="00F42760"/>
    <w:rsid w:val="00F919BB"/>
    <w:rsid w:val="00F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1E20"/>
  <w15:docId w15:val="{6D96B55E-E570-45D5-BB10-034CED0A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6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4CC2"/>
    <w:pPr>
      <w:ind w:left="720"/>
      <w:contextualSpacing/>
    </w:pPr>
  </w:style>
  <w:style w:type="character" w:styleId="a6">
    <w:name w:val="Strong"/>
    <w:basedOn w:val="a0"/>
    <w:uiPriority w:val="22"/>
    <w:qFormat/>
    <w:rsid w:val="00A51EF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624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4B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56C77"/>
    <w:rPr>
      <w:color w:val="0000FF" w:themeColor="hyperlink"/>
      <w:u w:val="single"/>
    </w:rPr>
  </w:style>
  <w:style w:type="character" w:customStyle="1" w:styleId="licenseline">
    <w:name w:val="licenseline"/>
    <w:basedOn w:val="a0"/>
    <w:rsid w:val="002C4D65"/>
  </w:style>
  <w:style w:type="character" w:customStyle="1" w:styleId="10">
    <w:name w:val="Заголовок 1 Знак"/>
    <w:basedOn w:val="a0"/>
    <w:link w:val="1"/>
    <w:uiPriority w:val="9"/>
    <w:rsid w:val="001F6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13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768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0" w:color="BBBBBB"/>
                    <w:right w:val="none" w:sz="0" w:space="0" w:color="auto"/>
                  </w:divBdr>
                </w:div>
              </w:divsChild>
            </w:div>
          </w:divsChild>
        </w:div>
        <w:div w:id="1580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577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0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2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013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299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919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0" w:color="BBBBBB"/>
                    <w:right w:val="none" w:sz="0" w:space="0" w:color="auto"/>
                  </w:divBdr>
                </w:div>
              </w:divsChild>
            </w:div>
          </w:divsChild>
        </w:div>
        <w:div w:id="15588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111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1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8;&#1093;&#1079;.&#1088;&#1092;/obshaya-dokumentats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tender.info/category/tendery-oao-tz-oktyabr-11903" TargetMode="External"/><Relationship Id="rId12" Type="http://schemas.openxmlformats.org/officeDocument/2006/relationships/hyperlink" Target="http://opr.tmbreg.ru/assets/files/Documents/Departmental/2017/Doklad_2017/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tabr-tz.ru" TargetMode="External"/><Relationship Id="rId11" Type="http://schemas.openxmlformats.org/officeDocument/2006/relationships/hyperlink" Target="http://www.tstu.ru/book/elib/pdf/st/2004/zarova.pdf" TargetMode="External"/><Relationship Id="rId5" Type="http://schemas.openxmlformats.org/officeDocument/2006/relationships/hyperlink" Target="http://tmb.gks.ru/wps/wcm/connect/rosstat_ts/tmb/resources/96f99600415a5116a955ada3e1dde74c/&#1090;&#1086;+&#1074;+&#1094;&#1080;&#1092;&#1088;&#1072;&#1093;_.pdf" TargetMode="External"/><Relationship Id="rId10" Type="http://schemas.openxmlformats.org/officeDocument/2006/relationships/hyperlink" Target="https://www.rusprofile.ru/inspections/40385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stender.info/category/tendery-oao-korporaciya-roshimzashchita-9975?pg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Ovich Lek</dc:creator>
  <cp:lastModifiedBy>Ovich Lek</cp:lastModifiedBy>
  <cp:revision>2</cp:revision>
  <dcterms:created xsi:type="dcterms:W3CDTF">2020-11-09T13:45:00Z</dcterms:created>
  <dcterms:modified xsi:type="dcterms:W3CDTF">2020-11-09T13:45:00Z</dcterms:modified>
</cp:coreProperties>
</file>