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F1" w:rsidP="0A501894" w:rsidRDefault="007468F1" w14:paraId="20698609" w14:textId="160D0E87">
      <w:pPr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1"/>
          <w:bCs w:val="1"/>
          <w:sz w:val="24"/>
          <w:szCs w:val="24"/>
        </w:rPr>
        <w:t>Экзистенциальная парадигма индивидуальности и её методы</w:t>
      </w:r>
    </w:p>
    <w:p w:rsidR="0A501894" w:rsidP="0A501894" w:rsidRDefault="0A501894" w14:paraId="2E430D83" w14:textId="3B19047D">
      <w:pPr>
        <w:pStyle w:val="a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Научный руководитель</w:t>
      </w:r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A501894" w:rsidR="0A5018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– Кочетков Игорь Геннадьевич</w:t>
      </w:r>
    </w:p>
    <w:p w:rsidR="0A501894" w:rsidP="0A501894" w:rsidRDefault="0A501894" w14:paraId="4B3055D1" w14:textId="0FD40DCC">
      <w:pPr>
        <w:pStyle w:val="a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353535"/>
          <w:sz w:val="22"/>
          <w:szCs w:val="22"/>
          <w:lang w:val="ru-RU"/>
        </w:rPr>
        <w:t>Артени</w:t>
      </w:r>
      <w:r w:rsidRPr="0A501894" w:rsidR="0A50189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353535"/>
          <w:sz w:val="22"/>
          <w:szCs w:val="22"/>
          <w:lang w:val="ru-RU"/>
        </w:rPr>
        <w:t xml:space="preserve"> Никита Андреевич</w:t>
      </w:r>
    </w:p>
    <w:p w:rsidR="0A501894" w:rsidP="0A501894" w:rsidRDefault="0A501894" w14:paraId="6EC27AD4" w14:textId="61720BC8">
      <w:pPr>
        <w:pStyle w:val="a"/>
        <w:spacing w:line="420" w:lineRule="exact"/>
        <w:jc w:val="center"/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</w:pPr>
      <w:r w:rsidRPr="0A501894" w:rsidR="0A501894"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  <w:t>Студент 2 курса</w:t>
      </w:r>
    </w:p>
    <w:p w:rsidR="0A501894" w:rsidP="0A501894" w:rsidRDefault="0A501894" w14:paraId="35524F2D" w14:textId="6D675D09">
      <w:pPr>
        <w:spacing w:line="420" w:lineRule="exact"/>
        <w:jc w:val="center"/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</w:pPr>
      <w:r w:rsidRPr="0A501894" w:rsidR="0A501894"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  <w:t xml:space="preserve"> Ульяновский государственный университет </w:t>
      </w:r>
    </w:p>
    <w:p w:rsidR="0A501894" w:rsidP="0A501894" w:rsidRDefault="0A501894" w14:paraId="3A8E44C4" w14:textId="24D4CA52">
      <w:pPr>
        <w:spacing w:line="420" w:lineRule="exact"/>
        <w:jc w:val="center"/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</w:pPr>
      <w:r w:rsidRPr="0A501894" w:rsidR="0A501894"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  <w:t xml:space="preserve"> Факультет гуманитарных наук и социальных технологий, Ульяновск, Россия</w:t>
      </w:r>
    </w:p>
    <w:p w:rsidR="0A501894" w:rsidP="0A501894" w:rsidRDefault="0A501894" w14:paraId="3B9E7502" w14:textId="46084D1F">
      <w:pPr>
        <w:spacing w:line="420" w:lineRule="exact"/>
        <w:jc w:val="center"/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</w:pPr>
      <w:r w:rsidRPr="0A501894" w:rsidR="0A501894"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  <w:t>E–</w:t>
      </w:r>
      <w:proofErr w:type="spellStart"/>
      <w:r w:rsidRPr="0A501894" w:rsidR="0A501894"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  <w:t>mail</w:t>
      </w:r>
      <w:proofErr w:type="spellEnd"/>
      <w:r w:rsidRPr="0A501894" w:rsidR="0A501894">
        <w:rPr>
          <w:rFonts w:ascii="Times New Roman" w:hAnsi="Times New Roman" w:eastAsia="Times New Roman" w:cs="Times New Roman"/>
          <w:i w:val="1"/>
          <w:iCs w:val="1"/>
          <w:noProof w:val="0"/>
          <w:color w:val="353535"/>
          <w:sz w:val="24"/>
          <w:szCs w:val="24"/>
          <w:lang w:val="ru-RU"/>
        </w:rPr>
        <w:t>: decteni@yandex.ru</w:t>
      </w:r>
    </w:p>
    <w:p w:rsidR="0A501894" w:rsidP="0A501894" w:rsidRDefault="0A501894" w14:paraId="018069CC" w14:textId="46037C83">
      <w:pPr>
        <w:pStyle w:val="a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Pr="007468F1" w:rsidR="528ED312" w:rsidP="0A501894" w:rsidRDefault="17297D26" w14:paraId="43F1B142" w14:textId="7BFFED99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1"/>
          <w:bCs w:val="1"/>
          <w:sz w:val="24"/>
          <w:szCs w:val="24"/>
        </w:rPr>
        <w:t>Аннотация:</w:t>
      </w:r>
      <w:r w:rsidRPr="0A501894" w:rsidR="0A501894">
        <w:rPr>
          <w:rFonts w:ascii="Times New Roman" w:hAnsi="Times New Roman" w:cs="Times New Roman"/>
          <w:sz w:val="24"/>
          <w:szCs w:val="24"/>
        </w:rPr>
        <w:t xml:space="preserve"> В данной статье рассматриваются основные положения и рассматриваются актуальные методики экзистенциальной психологии. </w:t>
      </w:r>
    </w:p>
    <w:p w:rsidRPr="007468F1" w:rsidR="528ED312" w:rsidP="0A501894" w:rsidRDefault="17297D26" w14:paraId="0F717363" w14:textId="386D9675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Ключевые слова: </w:t>
      </w:r>
      <w:r w:rsidRPr="0A501894" w:rsidR="0A501894">
        <w:rPr>
          <w:rFonts w:ascii="Times New Roman" w:hAnsi="Times New Roman" w:cs="Times New Roman"/>
          <w:b w:val="0"/>
          <w:bCs w:val="0"/>
          <w:sz w:val="24"/>
          <w:szCs w:val="24"/>
        </w:rPr>
        <w:t>экзистенция, рефлексия, индивидуальность, личность.</w:t>
      </w:r>
    </w:p>
    <w:p w:rsidRPr="007468F1" w:rsidR="528ED312" w:rsidP="0A501894" w:rsidRDefault="17297D26" w14:paraId="76707F01" w14:textId="0D476AE0">
      <w:p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Актуальность: на данный момент это одна из быстроразвивающихся концепций психологии на ровне с КПТ и данная статья призвана познакомить читателей с основными </w:t>
      </w:r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её направлениями</w:t>
      </w:r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в теории и методологии. </w:t>
      </w:r>
    </w:p>
    <w:p w:rsidR="783FA220" w:rsidP="0A501894" w:rsidRDefault="783FA220" w14:paraId="4BA72315" w14:textId="6567207B">
      <w:pPr>
        <w:pStyle w:val="a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Теория.</w:t>
      </w:r>
    </w:p>
    <w:p w:rsidR="783FA220" w:rsidP="0A501894" w:rsidRDefault="783FA220" w14:paraId="5CBB17B8" w14:textId="45E73B5E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Экзистенциальная психология относящееся к гуманистическому направлению, следует за философской традицией, которая видит в «духовной индивидуальности» человека его «личность» </w:t>
      </w:r>
      <w:hyperlink>
        <w:r w:rsidRPr="0A501894" w:rsidR="0A501894">
          <w:rPr>
            <w:rStyle w:val="a3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[n2]</w:t>
        </w:r>
      </w:hyperlink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 Она в данном контексте равноценна индивидуальности в связи с акцентами на неповторимое, аутентичное, духовное бытие личности. </w:t>
      </w:r>
    </w:p>
    <w:p w:rsidR="783FA220" w:rsidP="0A501894" w:rsidRDefault="783FA220" w14:paraId="0BFFEAF0" w14:textId="04256D1B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</w:t>
      </w:r>
      <w:r w:rsidRPr="0A501894" w:rsidR="0A501894">
        <w:rPr>
          <w:rFonts w:ascii="Times New Roman" w:hAnsi="Times New Roman" w:cs="Times New Roman"/>
          <w:sz w:val="24"/>
          <w:szCs w:val="24"/>
        </w:rPr>
        <w:t xml:space="preserve">Целостность индивидуальности задается образом, концепцией «Я», которая формируется у человека в процессе его жизнедеятельности и развивается посредством самоопределения относительно культурных норм и самореализации в соотнесении с ними. </w:t>
      </w:r>
      <w:r w:rsidRPr="0A501894" w:rsidR="0A50189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Это единство обеспечивает рефлексия “</w:t>
      </w:r>
      <w:r w:rsidRPr="0A501894" w:rsidR="0A501894">
        <w:rPr>
          <w:rFonts w:ascii="Times New Roman" w:hAnsi="Times New Roman" w:cs="Times New Roman"/>
          <w:sz w:val="24"/>
          <w:szCs w:val="24"/>
        </w:rPr>
        <w:t xml:space="preserve">как системообразующий фактор индивидуальности человека.” Так как рефлексия есть процесс переосмысления человек себя, своих поступков и своих переживаний, то единством индивидуальности будет являться смысловое поле человека. Это поле является источником его бытия и отношением к окружающему миру, а также выражением себя в деятельности, общении и </w:t>
      </w:r>
      <w:proofErr w:type="spellStart"/>
      <w:r w:rsidRPr="0A501894" w:rsidR="0A50189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A501894" w:rsidR="0A501894">
        <w:rPr>
          <w:rFonts w:ascii="Times New Roman" w:hAnsi="Times New Roman" w:cs="Times New Roman"/>
          <w:sz w:val="24"/>
          <w:szCs w:val="24"/>
        </w:rPr>
        <w:t xml:space="preserve"> </w:t>
      </w:r>
      <w:hyperlink>
        <w:r w:rsidRPr="0A501894" w:rsidR="0A501894">
          <w:rPr>
            <w:rStyle w:val="a3"/>
            <w:rFonts w:ascii="Times New Roman" w:hAnsi="Times New Roman" w:cs="Times New Roman"/>
            <w:sz w:val="24"/>
            <w:szCs w:val="24"/>
          </w:rPr>
          <w:t>[n2]</w:t>
        </w:r>
      </w:hyperlink>
      <w:r w:rsidRPr="0A501894" w:rsidR="0A501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783FA220" w:rsidP="0A501894" w:rsidRDefault="783FA220" w14:paraId="3A0B7AD6" w14:textId="0137647A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cs="Times New Roman"/>
          <w:sz w:val="24"/>
          <w:szCs w:val="24"/>
        </w:rPr>
        <w:t xml:space="preserve">Таким образом рефлексивная активность личности выступает одним из оснований формирования человеческой индивидуальности и личности так как является смыслообразующим и направляющим фактором в существовании каждого человека </w:t>
      </w:r>
      <w:hyperlink>
        <w:r w:rsidRPr="0A501894" w:rsidR="0A501894">
          <w:rPr>
            <w:rStyle w:val="a3"/>
            <w:rFonts w:ascii="Times New Roman" w:hAnsi="Times New Roman" w:cs="Times New Roman"/>
            <w:sz w:val="24"/>
            <w:szCs w:val="24"/>
          </w:rPr>
          <w:t>[n1]</w:t>
        </w:r>
      </w:hyperlink>
      <w:r w:rsidRPr="0A501894" w:rsidR="0A501894">
        <w:rPr>
          <w:rFonts w:ascii="Times New Roman" w:hAnsi="Times New Roman" w:cs="Times New Roman"/>
          <w:sz w:val="24"/>
          <w:szCs w:val="24"/>
        </w:rPr>
        <w:t>.</w:t>
      </w:r>
    </w:p>
    <w:p w:rsidR="783FA220" w:rsidP="0A501894" w:rsidRDefault="783FA220" w14:paraId="7F99FE9A" w14:textId="4F94F54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1"/>
          <w:bCs w:val="1"/>
          <w:sz w:val="24"/>
          <w:szCs w:val="24"/>
        </w:rPr>
        <w:t>Методология.</w:t>
      </w:r>
    </w:p>
    <w:p w:rsidR="783FA220" w:rsidP="0A501894" w:rsidRDefault="783FA220" w14:paraId="0E0EFA25" w14:textId="1F9AD05E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cs="Times New Roman"/>
          <w:sz w:val="24"/>
          <w:szCs w:val="24"/>
        </w:rPr>
        <w:t>Анализ различных аспектов экзистенции измеряется с различных методов. Вот несколько из них ПЭА, ДТР, МСБ, СЖО</w:t>
      </w:r>
    </w:p>
    <w:p w:rsidR="783FA220" w:rsidP="0A501894" w:rsidRDefault="783FA220" w14:paraId="1A03D0BF" w14:textId="507888A1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cs="Times New Roman"/>
          <w:sz w:val="24"/>
          <w:szCs w:val="24"/>
        </w:rPr>
        <w:t xml:space="preserve">Модель субъективного благополучия, предложенная (МСБ) Э. </w:t>
      </w:r>
      <w:proofErr w:type="spellStart"/>
      <w:r w:rsidRPr="0A501894" w:rsidR="0A501894">
        <w:rPr>
          <w:rFonts w:ascii="Times New Roman" w:hAnsi="Times New Roman" w:cs="Times New Roman"/>
          <w:sz w:val="24"/>
          <w:szCs w:val="24"/>
        </w:rPr>
        <w:t>Динером</w:t>
      </w:r>
      <w:proofErr w:type="spellEnd"/>
      <w:r w:rsidRPr="0A501894" w:rsidR="0A501894">
        <w:rPr>
          <w:rFonts w:ascii="Times New Roman" w:hAnsi="Times New Roman" w:cs="Times New Roman"/>
          <w:sz w:val="24"/>
          <w:szCs w:val="24"/>
        </w:rPr>
        <w:t xml:space="preserve">, включает три компонента, отражающих когнитивную оценку жизни (удовлетворенность жизнью) и ее эмоциональную сторону (высокий уровень положительных эмоций и низкий уровень отрицательных эмоций) </w:t>
      </w:r>
      <w:hyperlink>
        <w:r w:rsidRPr="0A501894" w:rsidR="0A501894">
          <w:rPr>
            <w:rStyle w:val="a3"/>
            <w:rFonts w:ascii="Times New Roman" w:hAnsi="Times New Roman" w:cs="Times New Roman"/>
            <w:sz w:val="24"/>
            <w:szCs w:val="24"/>
          </w:rPr>
          <w:t>[n4]</w:t>
        </w:r>
      </w:hyperlink>
      <w:r w:rsidRPr="0A501894" w:rsidR="0A501894">
        <w:rPr>
          <w:rFonts w:ascii="Times New Roman" w:hAnsi="Times New Roman" w:cs="Times New Roman"/>
          <w:sz w:val="24"/>
          <w:szCs w:val="24"/>
        </w:rPr>
        <w:t>.</w:t>
      </w:r>
    </w:p>
    <w:p w:rsidR="783FA220" w:rsidP="0A501894" w:rsidRDefault="783FA220" w14:paraId="5EB58157" w14:textId="7E2056F8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cs="Times New Roman"/>
          <w:sz w:val="24"/>
          <w:szCs w:val="24"/>
        </w:rPr>
        <w:t xml:space="preserve">Дифференциальный тест </w:t>
      </w:r>
      <w:proofErr w:type="spellStart"/>
      <w:r w:rsidRPr="0A501894" w:rsidR="0A501894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A501894" w:rsidR="0A501894">
        <w:rPr>
          <w:rFonts w:ascii="Times New Roman" w:hAnsi="Times New Roman" w:cs="Times New Roman"/>
          <w:sz w:val="24"/>
          <w:szCs w:val="24"/>
        </w:rPr>
        <w:t xml:space="preserve"> (ДТР) </w:t>
      </w:r>
      <w:hyperlink>
        <w:r w:rsidRPr="0A501894" w:rsidR="0A501894">
          <w:rPr>
            <w:rStyle w:val="a3"/>
            <w:rFonts w:ascii="Times New Roman" w:hAnsi="Times New Roman" w:cs="Times New Roman"/>
            <w:sz w:val="24"/>
            <w:szCs w:val="24"/>
          </w:rPr>
          <w:t>[n5]</w:t>
        </w:r>
      </w:hyperlink>
      <w:r w:rsidRPr="0A501894" w:rsidR="0A501894">
        <w:rPr>
          <w:rFonts w:ascii="Times New Roman" w:hAnsi="Times New Roman" w:cs="Times New Roman"/>
          <w:sz w:val="24"/>
          <w:szCs w:val="24"/>
        </w:rPr>
        <w:t xml:space="preserve">, включает 30 утверждений, сгруппированных в три шкалы: Системная рефлексия, Интроспекция, </w:t>
      </w:r>
      <w:proofErr w:type="spellStart"/>
      <w:r w:rsidRPr="0A501894" w:rsidR="0A501894">
        <w:rPr>
          <w:rFonts w:ascii="Times New Roman" w:hAnsi="Times New Roman" w:cs="Times New Roman"/>
          <w:sz w:val="24"/>
          <w:szCs w:val="24"/>
        </w:rPr>
        <w:t>Квазирефлексия</w:t>
      </w:r>
      <w:proofErr w:type="spellEnd"/>
      <w:r w:rsidRPr="0A501894" w:rsidR="0A501894">
        <w:rPr>
          <w:rFonts w:ascii="Times New Roman" w:hAnsi="Times New Roman" w:cs="Times New Roman"/>
          <w:sz w:val="24"/>
          <w:szCs w:val="24"/>
        </w:rPr>
        <w:t xml:space="preserve">. Эта методика позволяет измерять </w:t>
      </w:r>
      <w:proofErr w:type="spellStart"/>
      <w:r w:rsidRPr="0A501894" w:rsidR="0A501894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A501894" w:rsidR="0A501894">
        <w:rPr>
          <w:rFonts w:ascii="Times New Roman" w:hAnsi="Times New Roman" w:cs="Times New Roman"/>
          <w:sz w:val="24"/>
          <w:szCs w:val="24"/>
        </w:rPr>
        <w:t xml:space="preserve"> дифференцированно, различая ее позитивные и негативные аспекты.</w:t>
      </w:r>
    </w:p>
    <w:p w:rsidR="783FA220" w:rsidP="0A501894" w:rsidRDefault="783FA220" w14:paraId="3DEFB4DD" w14:textId="0D810A4A">
      <w:pPr>
        <w:pStyle w:val="a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Персональный экзистенциальный анализ» (ПЭА) возник из экзистенциального анализа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Франкла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hyperlink>
        <w:r w:rsidRPr="0A501894" w:rsidR="0A501894">
          <w:rPr>
            <w:rStyle w:val="a3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[n2]</w:t>
        </w:r>
      </w:hyperlink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благодаря теоретическим размышлениям, опыту применения феноменологии и интроспекции. ПЭА представляет собой результат стремления создать поддающийся методическому описанию способ применение антропологии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Франкла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 конкретному человеку и его жизненным обстоятельствам. Основными понятиями ПЭА являются «личность» и «экзистенция» – психотерапевтическая или педагогическая работа фокусируется на индивидуальной личности как основе экзистенции.</w:t>
      </w:r>
    </w:p>
    <w:p w:rsidR="783FA220" w:rsidP="0A501894" w:rsidRDefault="783FA220" w14:paraId="7E80B7C5" w14:textId="79C964B6">
      <w:pPr>
        <w:pStyle w:val="a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Тест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смысложизненных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ориентаций (СЖО) Д.А. Леонтьева </w:t>
      </w:r>
      <w:hyperlink>
        <w:r w:rsidRPr="0A501894" w:rsidR="0A501894">
          <w:rPr>
            <w:rStyle w:val="a3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[n3]</w:t>
        </w:r>
      </w:hyperlink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Тест включает двадцать пар утверждений, отражающих альтернативные варианты отношения человека к жизни, а также пять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субшкал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 1) шкала «цели в жизни» (цели) - характеризует целеустремленность, наличие или отсутствие в жизни испытуемого целей (намерений, призвания) в будущем; 2) шкала «процесс жизни или интерес и эмоциональная насыщенность жизни» (процесс) - определяет удовлетворённость своей жизнью в настоящем, восприятие процесса своей жизни как интересного, эмоционально насыщенного и наполненного смыслом; 3) шкала «результативность жизни или</w:t>
      </w:r>
    </w:p>
    <w:p w:rsidR="783FA220" w:rsidP="0A501894" w:rsidRDefault="783FA220" w14:paraId="743C3992" w14:textId="36CA5DC7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удовлетворенность самореализацией» (результат) - измеряет удовлетворённость прожитой частью жизни, оценку пройденного отрезка жизни; 4) шкала «локус контроля - Я (Я - хозяин жизни)»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лк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— Я) - характеризует представление о себе как о сильной личности, обладающей достаточной свободой выбора; 5) шкала «локус контроля - жизнь или управляемость жизни»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лк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— Ж) - отражает убеждённость в том, что человеку дано контролировать свою жизнь, свободно принимать решения и воплощать их в жизнь.</w:t>
      </w:r>
    </w:p>
    <w:p w:rsidR="783FA220" w:rsidP="0A501894" w:rsidRDefault="783FA220" w14:paraId="58BCF479" w14:textId="0BD693B2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</w:p>
    <w:p w:rsidR="783FA220" w:rsidP="0A501894" w:rsidRDefault="783FA220" w14:paraId="33881573" w14:textId="1F195924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A501894" w:rsidR="0A501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A501894" w:rsidR="0A501894">
        <w:rPr>
          <w:rFonts w:ascii="Times New Roman" w:hAnsi="Times New Roman" w:cs="Times New Roman"/>
          <w:b w:val="1"/>
          <w:bCs w:val="1"/>
          <w:sz w:val="24"/>
          <w:szCs w:val="24"/>
        </w:rPr>
        <w:t>Литература</w:t>
      </w:r>
    </w:p>
    <w:p w:rsidR="0A501894" w:rsidP="0A501894" w:rsidRDefault="0A501894" w14:paraId="073D09CF" w14:textId="72A2E277">
      <w:pPr>
        <w:pStyle w:val="a4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Есипова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Н.Д.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Экзистенциальные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вопросы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личностный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ответ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//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Ученые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записки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ОГУ.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Серия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Гуманитарные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социальные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науки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2013. №5. URL: https://cyberleninka.ru/article/n/ekzistentsialnye-voprosy-lichnostnyy-otvet </w:t>
      </w:r>
    </w:p>
    <w:p w:rsidR="0A501894" w:rsidP="0A501894" w:rsidRDefault="0A501894" w14:paraId="1D04B64C" w14:textId="4E7D8696">
      <w:pPr>
        <w:pStyle w:val="a4"/>
        <w:numPr>
          <w:ilvl w:val="0"/>
          <w:numId w:val="1"/>
        </w:numPr>
        <w:jc w:val="both"/>
        <w:rPr>
          <w:b w:val="0"/>
          <w:bCs w:val="0"/>
          <w:noProof w:val="0"/>
          <w:sz w:val="24"/>
          <w:szCs w:val="24"/>
          <w:lang w:val="en-US"/>
        </w:rPr>
      </w:pPr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Коллектив</w:t>
      </w:r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авторов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Абульханова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К.А.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Калина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Н.Ф.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7),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Карпенко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З.С.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6),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Лэнгле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А.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10),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Орлов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А.Б.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9),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Петровский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В.А.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5),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Семенов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И.Н.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8),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Старовойтенко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Е.Б.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4),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Татенко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В.А.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3),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Шадриков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В.Д.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Шумский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В.Б. (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раздел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9),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Психология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ндивидуальности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Новые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модели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концепции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//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Под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научной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редакцией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Старовойтенко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Е.Б. и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Шадрикова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В.Д.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Психология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индивидуальности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// 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Издательство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МПСИ, </w:t>
      </w:r>
      <w:proofErr w:type="spellStart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Москва</w:t>
      </w:r>
      <w:proofErr w:type="spellEnd"/>
      <w:r w:rsidRPr="0A501894" w:rsidR="0A50189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2009.</w:t>
      </w:r>
    </w:p>
    <w:p w:rsidR="0A501894" w:rsidP="0A501894" w:rsidRDefault="0A501894" w14:paraId="083F296B" w14:textId="26400917">
      <w:pPr>
        <w:pStyle w:val="a4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Леонтьев, Д.А. Тест </w:t>
      </w:r>
      <w:proofErr w:type="spellStart"/>
      <w:r w:rsidRPr="0A501894" w:rsidR="0A501894">
        <w:rPr>
          <w:rFonts w:ascii="Times New Roman" w:hAnsi="Times New Roman" w:cs="Times New Roman"/>
          <w:b w:val="0"/>
          <w:bCs w:val="0"/>
          <w:sz w:val="24"/>
          <w:szCs w:val="24"/>
        </w:rPr>
        <w:t>смысложизненных</w:t>
      </w:r>
      <w:proofErr w:type="spellEnd"/>
      <w:r w:rsidRPr="0A501894" w:rsidR="0A5018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ориентации. - 2-е изд. - М.: Смысл, 2000. - 18 с.</w:t>
      </w:r>
    </w:p>
    <w:p w:rsidR="0A501894" w:rsidP="0A501894" w:rsidRDefault="0A501894" w14:paraId="08373939" w14:textId="2DC7B243">
      <w:pPr>
        <w:pStyle w:val="a4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Осин Е. Н., Леонтьев Д. А. Краткие русскоязычные шкалы диагностики субъективного благополучия: психометрические характеристики и сравнительный анализ // Мониторинг общественного мнения: Экономические и социальные перемены. 2020. № 1. С. 117—142. https://doi.org/10.14515/monitoring.2020.1.06. </w:t>
      </w:r>
    </w:p>
    <w:p w:rsidR="0A501894" w:rsidP="0A501894" w:rsidRDefault="0A501894" w14:paraId="558CFB1D" w14:textId="1A980B81">
      <w:pPr>
        <w:pStyle w:val="a4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sz w:val="24"/>
          <w:szCs w:val="24"/>
        </w:rPr>
      </w:pPr>
      <w:r w:rsidRPr="0A501894" w:rsidR="0A501894">
        <w:rPr>
          <w:rFonts w:ascii="Times New Roman" w:hAnsi="Times New Roman" w:cs="Times New Roman"/>
          <w:b w:val="0"/>
          <w:bCs w:val="0"/>
          <w:sz w:val="24"/>
          <w:szCs w:val="24"/>
        </w:rPr>
        <w:t>Осин Е. Н., Леонтьев Д. А. Рефлексия «Хорошая» и «Дурная»: от объяснительной модели к дифференциальной диагностике // Психология. Журнал Высшей школы экономики. 2014. Т 11. №4. С. 110-135.</w:t>
      </w:r>
    </w:p>
    <w:p w:rsidR="0A501894" w:rsidP="0A501894" w:rsidRDefault="0A501894" w14:paraId="0E59028A" w14:textId="0E2CCE78">
      <w:pPr>
        <w:pStyle w:val="a"/>
        <w:ind w:left="0"/>
        <w:jc w:val="both"/>
      </w:pPr>
    </w:p>
    <w:p w:rsidR="71310F55" w:rsidP="001A4560" w:rsidRDefault="71310F55" w14:paraId="21C099F3" w14:textId="773AE183">
      <w:pPr>
        <w:jc w:val="both"/>
      </w:pPr>
    </w:p>
    <w:p w:rsidR="71310F55" w:rsidP="71310F55" w:rsidRDefault="71310F55" w14:paraId="0596821B" w14:textId="61F21CA8"/>
    <w:sectPr w:rsidR="71310F55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2DA73F2"/>
    <w:multiLevelType w:val="hybridMultilevel"/>
    <w:tmpl w:val="BEFEA060"/>
    <w:lvl w:ilvl="0" w:tplc="F39E9548">
      <w:start w:val="1"/>
      <w:numFmt w:val="decimal"/>
      <w:lvlText w:val="%1."/>
      <w:lvlJc w:val="left"/>
      <w:pPr>
        <w:ind w:left="720" w:hanging="360"/>
      </w:pPr>
    </w:lvl>
    <w:lvl w:ilvl="1" w:tplc="95789382">
      <w:start w:val="1"/>
      <w:numFmt w:val="lowerLetter"/>
      <w:lvlText w:val="%2."/>
      <w:lvlJc w:val="left"/>
      <w:pPr>
        <w:ind w:left="1440" w:hanging="360"/>
      </w:pPr>
    </w:lvl>
    <w:lvl w:ilvl="2" w:tplc="76446C80">
      <w:start w:val="1"/>
      <w:numFmt w:val="lowerRoman"/>
      <w:lvlText w:val="%3."/>
      <w:lvlJc w:val="right"/>
      <w:pPr>
        <w:ind w:left="2160" w:hanging="180"/>
      </w:pPr>
    </w:lvl>
    <w:lvl w:ilvl="3" w:tplc="08560AB6">
      <w:start w:val="1"/>
      <w:numFmt w:val="decimal"/>
      <w:lvlText w:val="%4."/>
      <w:lvlJc w:val="left"/>
      <w:pPr>
        <w:ind w:left="2880" w:hanging="360"/>
      </w:pPr>
    </w:lvl>
    <w:lvl w:ilvl="4" w:tplc="3BDA91B8">
      <w:start w:val="1"/>
      <w:numFmt w:val="lowerLetter"/>
      <w:lvlText w:val="%5."/>
      <w:lvlJc w:val="left"/>
      <w:pPr>
        <w:ind w:left="3600" w:hanging="360"/>
      </w:pPr>
    </w:lvl>
    <w:lvl w:ilvl="5" w:tplc="BE1E3802">
      <w:start w:val="1"/>
      <w:numFmt w:val="lowerRoman"/>
      <w:lvlText w:val="%6."/>
      <w:lvlJc w:val="right"/>
      <w:pPr>
        <w:ind w:left="4320" w:hanging="180"/>
      </w:pPr>
    </w:lvl>
    <w:lvl w:ilvl="6" w:tplc="F24CE81C">
      <w:start w:val="1"/>
      <w:numFmt w:val="decimal"/>
      <w:lvlText w:val="%7."/>
      <w:lvlJc w:val="left"/>
      <w:pPr>
        <w:ind w:left="5040" w:hanging="360"/>
      </w:pPr>
    </w:lvl>
    <w:lvl w:ilvl="7" w:tplc="209C7F4E">
      <w:start w:val="1"/>
      <w:numFmt w:val="lowerLetter"/>
      <w:lvlText w:val="%8."/>
      <w:lvlJc w:val="left"/>
      <w:pPr>
        <w:ind w:left="5760" w:hanging="360"/>
      </w:pPr>
    </w:lvl>
    <w:lvl w:ilvl="8" w:tplc="747074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765"/>
    <w:multiLevelType w:val="hybridMultilevel"/>
    <w:tmpl w:val="E93A079C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BD40F10">
      <w:start w:val="1"/>
      <w:numFmt w:val="lowerLetter"/>
      <w:lvlText w:val="%2."/>
      <w:lvlJc w:val="left"/>
      <w:pPr>
        <w:ind w:left="1440" w:hanging="360"/>
      </w:pPr>
    </w:lvl>
    <w:lvl w:ilvl="2" w:tplc="1AE88548">
      <w:start w:val="1"/>
      <w:numFmt w:val="lowerRoman"/>
      <w:lvlText w:val="%3."/>
      <w:lvlJc w:val="right"/>
      <w:pPr>
        <w:ind w:left="2160" w:hanging="180"/>
      </w:pPr>
    </w:lvl>
    <w:lvl w:ilvl="3" w:tplc="A978E3E6">
      <w:start w:val="1"/>
      <w:numFmt w:val="decimal"/>
      <w:lvlText w:val="%4."/>
      <w:lvlJc w:val="left"/>
      <w:pPr>
        <w:ind w:left="2880" w:hanging="360"/>
      </w:pPr>
    </w:lvl>
    <w:lvl w:ilvl="4" w:tplc="6AB294D4">
      <w:start w:val="1"/>
      <w:numFmt w:val="lowerLetter"/>
      <w:lvlText w:val="%5."/>
      <w:lvlJc w:val="left"/>
      <w:pPr>
        <w:ind w:left="3600" w:hanging="360"/>
      </w:pPr>
    </w:lvl>
    <w:lvl w:ilvl="5" w:tplc="0A9AF312">
      <w:start w:val="1"/>
      <w:numFmt w:val="lowerRoman"/>
      <w:lvlText w:val="%6."/>
      <w:lvlJc w:val="right"/>
      <w:pPr>
        <w:ind w:left="4320" w:hanging="180"/>
      </w:pPr>
    </w:lvl>
    <w:lvl w:ilvl="6" w:tplc="7D5A8AA2">
      <w:start w:val="1"/>
      <w:numFmt w:val="decimal"/>
      <w:lvlText w:val="%7."/>
      <w:lvlJc w:val="left"/>
      <w:pPr>
        <w:ind w:left="5040" w:hanging="360"/>
      </w:pPr>
    </w:lvl>
    <w:lvl w:ilvl="7" w:tplc="137E158E">
      <w:start w:val="1"/>
      <w:numFmt w:val="lowerLetter"/>
      <w:lvlText w:val="%8."/>
      <w:lvlJc w:val="left"/>
      <w:pPr>
        <w:ind w:left="5760" w:hanging="360"/>
      </w:pPr>
    </w:lvl>
    <w:lvl w:ilvl="8" w:tplc="6FA80116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B3E61"/>
    <w:rsid w:val="001A4560"/>
    <w:rsid w:val="007468F1"/>
    <w:rsid w:val="08EB3E61"/>
    <w:rsid w:val="0A501894"/>
    <w:rsid w:val="17297D26"/>
    <w:rsid w:val="1CF4F16F"/>
    <w:rsid w:val="21E79604"/>
    <w:rsid w:val="2A7F7D41"/>
    <w:rsid w:val="2B20E22E"/>
    <w:rsid w:val="2BD1F7A6"/>
    <w:rsid w:val="528ED312"/>
    <w:rsid w:val="5C598A50"/>
    <w:rsid w:val="60D0EFE8"/>
    <w:rsid w:val="71310F55"/>
    <w:rsid w:val="746854FF"/>
    <w:rsid w:val="783FA220"/>
    <w:rsid w:val="7BC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3E61"/>
  <w15:chartTrackingRefBased/>
  <w15:docId w15:val="{C2ABBB99-1D6E-4F91-90F8-6224D1E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Артени Никита</dc:creator>
  <keywords/>
  <dc:description/>
  <lastModifiedBy>Артени Никита</lastModifiedBy>
  <revision>12</revision>
  <dcterms:created xsi:type="dcterms:W3CDTF">2020-10-07T11:37:00.0000000Z</dcterms:created>
  <dcterms:modified xsi:type="dcterms:W3CDTF">2020-11-06T18:03:00.9066957Z</dcterms:modified>
</coreProperties>
</file>