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10" w:rsidRPr="00D472BB" w:rsidRDefault="00B16F10" w:rsidP="00B16F10">
      <w:pPr>
        <w:shd w:val="clear" w:color="auto" w:fill="FFFFFF"/>
        <w:spacing w:after="0" w:line="240" w:lineRule="auto"/>
        <w:jc w:val="center"/>
        <w:rPr>
          <w:rFonts w:ascii="Times New Roman" w:eastAsia="Times New Roman" w:hAnsi="Times New Roman"/>
          <w:sz w:val="24"/>
          <w:szCs w:val="24"/>
          <w:lang w:eastAsia="ru-RU"/>
        </w:rPr>
      </w:pPr>
      <w:r w:rsidRPr="00D472BB">
        <w:rPr>
          <w:rFonts w:ascii="Times New Roman" w:eastAsia="Times New Roman" w:hAnsi="Times New Roman"/>
          <w:b/>
          <w:bCs/>
          <w:sz w:val="24"/>
          <w:szCs w:val="24"/>
          <w:lang w:eastAsia="ru-RU"/>
        </w:rPr>
        <w:t>Финанс</w:t>
      </w:r>
      <w:r>
        <w:rPr>
          <w:rFonts w:ascii="Times New Roman" w:eastAsia="Times New Roman" w:hAnsi="Times New Roman"/>
          <w:b/>
          <w:bCs/>
          <w:sz w:val="24"/>
          <w:szCs w:val="24"/>
          <w:lang w:eastAsia="ru-RU"/>
        </w:rPr>
        <w:t>ирование государственной научной</w:t>
      </w:r>
      <w:r w:rsidRPr="00D472BB">
        <w:rPr>
          <w:rFonts w:ascii="Times New Roman" w:eastAsia="Times New Roman" w:hAnsi="Times New Roman"/>
          <w:b/>
          <w:bCs/>
          <w:sz w:val="24"/>
          <w:szCs w:val="24"/>
          <w:lang w:eastAsia="ru-RU"/>
        </w:rPr>
        <w:t xml:space="preserve"> политики в РФ</w:t>
      </w:r>
    </w:p>
    <w:p w:rsidR="00B16F10" w:rsidRPr="00D472BB" w:rsidRDefault="00B16F10" w:rsidP="00B16F10">
      <w:pPr>
        <w:shd w:val="clear" w:color="auto" w:fill="FFFFFF"/>
        <w:spacing w:after="0" w:line="240" w:lineRule="auto"/>
        <w:jc w:val="center"/>
        <w:rPr>
          <w:rFonts w:ascii="Times New Roman" w:eastAsia="Times New Roman" w:hAnsi="Times New Roman"/>
          <w:sz w:val="24"/>
          <w:szCs w:val="24"/>
          <w:lang w:eastAsia="ru-RU"/>
        </w:rPr>
      </w:pPr>
      <w:proofErr w:type="spellStart"/>
      <w:r w:rsidRPr="00D472BB">
        <w:rPr>
          <w:rFonts w:ascii="Times New Roman" w:eastAsia="Times New Roman" w:hAnsi="Times New Roman"/>
          <w:b/>
          <w:bCs/>
          <w:iCs/>
          <w:sz w:val="24"/>
          <w:szCs w:val="24"/>
          <w:lang w:eastAsia="ru-RU"/>
        </w:rPr>
        <w:t>Аркаева</w:t>
      </w:r>
      <w:proofErr w:type="spellEnd"/>
      <w:r w:rsidRPr="00D472BB">
        <w:rPr>
          <w:rFonts w:ascii="Times New Roman" w:eastAsia="Times New Roman" w:hAnsi="Times New Roman"/>
          <w:b/>
          <w:bCs/>
          <w:iCs/>
          <w:sz w:val="24"/>
          <w:szCs w:val="24"/>
          <w:lang w:eastAsia="ru-RU"/>
        </w:rPr>
        <w:t xml:space="preserve"> Алена Сергеевна</w:t>
      </w:r>
    </w:p>
    <w:p w:rsidR="00B16F10" w:rsidRPr="00D472BB" w:rsidRDefault="00B16F10" w:rsidP="00B16F10">
      <w:pPr>
        <w:shd w:val="clear" w:color="auto" w:fill="FFFFFF"/>
        <w:spacing w:after="0" w:line="240" w:lineRule="auto"/>
        <w:jc w:val="center"/>
        <w:rPr>
          <w:rFonts w:ascii="Times New Roman" w:eastAsia="Times New Roman" w:hAnsi="Times New Roman"/>
          <w:sz w:val="24"/>
          <w:szCs w:val="24"/>
          <w:lang w:eastAsia="ru-RU"/>
        </w:rPr>
      </w:pPr>
      <w:r w:rsidRPr="00D472BB">
        <w:rPr>
          <w:rFonts w:ascii="Times New Roman" w:eastAsia="Times New Roman" w:hAnsi="Times New Roman"/>
          <w:iCs/>
          <w:sz w:val="24"/>
          <w:szCs w:val="24"/>
          <w:lang w:eastAsia="ru-RU"/>
        </w:rPr>
        <w:t>Студент</w:t>
      </w:r>
    </w:p>
    <w:p w:rsidR="00B16F10" w:rsidRPr="00D472BB" w:rsidRDefault="00B16F10" w:rsidP="00B16F10">
      <w:pPr>
        <w:shd w:val="clear" w:color="auto" w:fill="FFFFFF"/>
        <w:spacing w:after="0" w:line="240" w:lineRule="auto"/>
        <w:jc w:val="center"/>
        <w:rPr>
          <w:rFonts w:ascii="Times New Roman" w:eastAsia="Times New Roman" w:hAnsi="Times New Roman"/>
          <w:sz w:val="24"/>
          <w:szCs w:val="24"/>
          <w:lang w:eastAsia="ru-RU"/>
        </w:rPr>
      </w:pPr>
      <w:r w:rsidRPr="00D472BB">
        <w:rPr>
          <w:rFonts w:ascii="Times New Roman" w:eastAsia="Times New Roman" w:hAnsi="Times New Roman"/>
          <w:iCs/>
          <w:sz w:val="24"/>
          <w:szCs w:val="24"/>
          <w:lang w:eastAsia="ru-RU"/>
        </w:rPr>
        <w:t>Ульяновский государственный университет, </w:t>
      </w:r>
    </w:p>
    <w:p w:rsidR="00B16F10" w:rsidRPr="00D472BB" w:rsidRDefault="00B16F10" w:rsidP="00B16F10">
      <w:pPr>
        <w:shd w:val="clear" w:color="auto" w:fill="FFFFFF"/>
        <w:spacing w:after="0" w:line="240" w:lineRule="auto"/>
        <w:jc w:val="center"/>
        <w:rPr>
          <w:rFonts w:ascii="Times New Roman" w:eastAsia="Times New Roman" w:hAnsi="Times New Roman"/>
          <w:sz w:val="24"/>
          <w:szCs w:val="24"/>
          <w:lang w:eastAsia="ru-RU"/>
        </w:rPr>
      </w:pPr>
      <w:r w:rsidRPr="00D472BB">
        <w:rPr>
          <w:rFonts w:ascii="Times New Roman" w:eastAsia="Times New Roman" w:hAnsi="Times New Roman"/>
          <w:iCs/>
          <w:sz w:val="24"/>
          <w:szCs w:val="24"/>
          <w:lang w:eastAsia="ru-RU"/>
        </w:rPr>
        <w:t>факультет управления, Ульяновск, Россия</w:t>
      </w:r>
    </w:p>
    <w:p w:rsidR="00B16F10" w:rsidRPr="00B16F10" w:rsidRDefault="00B16F10" w:rsidP="00B16F10">
      <w:pPr>
        <w:shd w:val="clear" w:color="auto" w:fill="FFFFFF"/>
        <w:spacing w:after="0" w:line="240" w:lineRule="auto"/>
        <w:jc w:val="center"/>
        <w:rPr>
          <w:rFonts w:ascii="Times New Roman" w:eastAsia="Times New Roman" w:hAnsi="Times New Roman"/>
          <w:iCs/>
          <w:sz w:val="24"/>
          <w:szCs w:val="24"/>
          <w:lang w:eastAsia="ru-RU"/>
        </w:rPr>
      </w:pPr>
      <w:r w:rsidRPr="00D472BB">
        <w:rPr>
          <w:rFonts w:ascii="Times New Roman" w:eastAsia="Times New Roman" w:hAnsi="Times New Roman"/>
          <w:iCs/>
          <w:sz w:val="24"/>
          <w:szCs w:val="24"/>
          <w:lang w:val="en-US" w:eastAsia="ru-RU"/>
        </w:rPr>
        <w:t>E</w:t>
      </w:r>
      <w:r w:rsidRPr="00D472BB">
        <w:rPr>
          <w:rFonts w:ascii="Times New Roman" w:eastAsia="Times New Roman" w:hAnsi="Times New Roman"/>
          <w:iCs/>
          <w:sz w:val="24"/>
          <w:szCs w:val="24"/>
          <w:lang w:eastAsia="ru-RU"/>
        </w:rPr>
        <w:t>–</w:t>
      </w:r>
      <w:r w:rsidRPr="00D472BB">
        <w:rPr>
          <w:rFonts w:ascii="Times New Roman" w:eastAsia="Times New Roman" w:hAnsi="Times New Roman"/>
          <w:iCs/>
          <w:sz w:val="24"/>
          <w:szCs w:val="24"/>
          <w:lang w:val="en-US" w:eastAsia="ru-RU"/>
        </w:rPr>
        <w:t>mail</w:t>
      </w:r>
      <w:r w:rsidRPr="00D472BB">
        <w:rPr>
          <w:rFonts w:ascii="Times New Roman" w:eastAsia="Times New Roman" w:hAnsi="Times New Roman"/>
          <w:iCs/>
          <w:sz w:val="24"/>
          <w:szCs w:val="24"/>
          <w:lang w:eastAsia="ru-RU"/>
        </w:rPr>
        <w:t xml:space="preserve">: </w:t>
      </w:r>
      <w:proofErr w:type="spellStart"/>
      <w:r w:rsidRPr="00D472BB">
        <w:rPr>
          <w:rFonts w:ascii="Times New Roman" w:eastAsia="Times New Roman" w:hAnsi="Times New Roman"/>
          <w:iCs/>
          <w:sz w:val="24"/>
          <w:szCs w:val="24"/>
          <w:lang w:val="en-US" w:eastAsia="ru-RU"/>
        </w:rPr>
        <w:t>arkaeva</w:t>
      </w:r>
      <w:proofErr w:type="spellEnd"/>
      <w:r w:rsidRPr="00D472BB">
        <w:rPr>
          <w:rFonts w:ascii="Times New Roman" w:eastAsia="Times New Roman" w:hAnsi="Times New Roman"/>
          <w:iCs/>
          <w:sz w:val="24"/>
          <w:szCs w:val="24"/>
          <w:lang w:eastAsia="ru-RU"/>
        </w:rPr>
        <w:t>99@</w:t>
      </w:r>
      <w:proofErr w:type="spellStart"/>
      <w:r w:rsidRPr="00D472BB">
        <w:rPr>
          <w:rFonts w:ascii="Times New Roman" w:eastAsia="Times New Roman" w:hAnsi="Times New Roman"/>
          <w:iCs/>
          <w:sz w:val="24"/>
          <w:szCs w:val="24"/>
          <w:lang w:val="en-US" w:eastAsia="ru-RU"/>
        </w:rPr>
        <w:t>bk</w:t>
      </w:r>
      <w:proofErr w:type="spellEnd"/>
      <w:r w:rsidRPr="00D472BB">
        <w:rPr>
          <w:rFonts w:ascii="Times New Roman" w:eastAsia="Times New Roman" w:hAnsi="Times New Roman"/>
          <w:iCs/>
          <w:sz w:val="24"/>
          <w:szCs w:val="24"/>
          <w:lang w:eastAsia="ru-RU"/>
        </w:rPr>
        <w:t>.</w:t>
      </w:r>
      <w:proofErr w:type="spellStart"/>
      <w:r w:rsidRPr="00D472BB">
        <w:rPr>
          <w:rFonts w:ascii="Times New Roman" w:eastAsia="Times New Roman" w:hAnsi="Times New Roman"/>
          <w:iCs/>
          <w:sz w:val="24"/>
          <w:szCs w:val="24"/>
          <w:lang w:val="en-US" w:eastAsia="ru-RU"/>
        </w:rPr>
        <w:t>ru</w:t>
      </w:r>
      <w:proofErr w:type="spellEnd"/>
    </w:p>
    <w:p w:rsidR="00A50508" w:rsidRP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Лапин Анатолий Евгеньевич</w:t>
      </w:r>
    </w:p>
    <w:p w:rsidR="00A50508" w:rsidRP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доктор экономических наук,</w:t>
      </w:r>
    </w:p>
    <w:p w:rsidR="00A50508" w:rsidRP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заведующий кафедрой экономического анализа и государственного управления</w:t>
      </w:r>
    </w:p>
    <w:p w:rsidR="00A50508" w:rsidRP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Ульяновский государственный университет,</w:t>
      </w:r>
    </w:p>
    <w:p w:rsidR="00A50508" w:rsidRP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факультет управления, Ульяновск, Россия</w:t>
      </w:r>
    </w:p>
    <w:p w:rsidR="00A50508" w:rsidRDefault="00A50508" w:rsidP="00A50508">
      <w:pPr>
        <w:pStyle w:val="a3"/>
        <w:ind w:firstLine="709"/>
        <w:jc w:val="center"/>
        <w:rPr>
          <w:rFonts w:ascii="Times New Roman" w:hAnsi="Times New Roman" w:cs="Times New Roman"/>
          <w:sz w:val="24"/>
          <w:szCs w:val="24"/>
        </w:rPr>
      </w:pPr>
      <w:r w:rsidRPr="00A50508">
        <w:rPr>
          <w:rFonts w:ascii="Times New Roman" w:hAnsi="Times New Roman" w:cs="Times New Roman"/>
          <w:sz w:val="24"/>
          <w:szCs w:val="24"/>
        </w:rPr>
        <w:t>E–</w:t>
      </w:r>
      <w:proofErr w:type="spellStart"/>
      <w:r w:rsidRPr="00A50508">
        <w:rPr>
          <w:rFonts w:ascii="Times New Roman" w:hAnsi="Times New Roman" w:cs="Times New Roman"/>
          <w:sz w:val="24"/>
          <w:szCs w:val="24"/>
        </w:rPr>
        <w:t>mail</w:t>
      </w:r>
      <w:proofErr w:type="spellEnd"/>
      <w:r w:rsidRPr="00A50508">
        <w:rPr>
          <w:rFonts w:ascii="Times New Roman" w:hAnsi="Times New Roman" w:cs="Times New Roman"/>
          <w:sz w:val="24"/>
          <w:szCs w:val="24"/>
        </w:rPr>
        <w:t>: artcat2017@mail.ru</w:t>
      </w:r>
      <w:bookmarkStart w:id="0" w:name="_GoBack"/>
      <w:bookmarkEnd w:id="0"/>
    </w:p>
    <w:p w:rsidR="00A50508" w:rsidRDefault="00A50508" w:rsidP="00B16F10">
      <w:pPr>
        <w:pStyle w:val="a3"/>
        <w:ind w:firstLine="709"/>
        <w:jc w:val="both"/>
        <w:rPr>
          <w:rFonts w:ascii="Times New Roman" w:hAnsi="Times New Roman" w:cs="Times New Roman"/>
          <w:sz w:val="24"/>
          <w:szCs w:val="24"/>
        </w:rPr>
      </w:pP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Одним из ключевых факторов успешного функционирования экономики является высокий уровень развития науки, создание и применение инновационных технологий. Эффективно работающая научная сфера способствует повышению качества жизни населения и росту экономики, и в частности, в сфере высокотехнологичных производств.</w:t>
      </w: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 [1]</w:t>
      </w: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Сфера науки и высоких технологий должна стать одним из драйверов социально-экономического роста России. Однако справиться с этой ролью она пока не может, даже несмотря на инвестиции со стороны государства.</w:t>
      </w: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Общие затраты на российскую науку в 2000 году составили 76,7 млрд руб., объем внутренних затрат на исследования и разработки в России в 2019 г. достиг 1 трлн 134,8 млрд руб., что на 6.3% больше по сравнению с предыдущим годом (в постоянных ценах). Тем не менее данная сфера остается недостаточно продуктивной. [5]</w:t>
      </w:r>
    </w:p>
    <w:p w:rsidR="003B14FC" w:rsidRDefault="00B16F10" w:rsidP="0029668F">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 xml:space="preserve">Причина в том, что финансирование в этой области по-прежнему отстает от уровня развитых стран. </w:t>
      </w:r>
      <w:r w:rsidRPr="00D472BB">
        <w:rPr>
          <w:rFonts w:ascii="Times New Roman" w:hAnsi="Times New Roman" w:cs="Times New Roman"/>
          <w:sz w:val="24"/>
          <w:szCs w:val="24"/>
        </w:rPr>
        <w:t>По удельному весу зат</w:t>
      </w:r>
      <w:r>
        <w:rPr>
          <w:rFonts w:ascii="Times New Roman" w:hAnsi="Times New Roman" w:cs="Times New Roman"/>
          <w:sz w:val="24"/>
          <w:szCs w:val="24"/>
        </w:rPr>
        <w:t>рат на науку в ВВП</w:t>
      </w:r>
      <w:r w:rsidRPr="00D472BB">
        <w:rPr>
          <w:rFonts w:ascii="Times New Roman" w:hAnsi="Times New Roman" w:cs="Times New Roman"/>
          <w:sz w:val="24"/>
          <w:szCs w:val="24"/>
        </w:rPr>
        <w:t xml:space="preserve"> Россия существенно отстает от ведущих стран мира</w:t>
      </w:r>
      <w:r>
        <w:rPr>
          <w:rFonts w:ascii="Times New Roman" w:hAnsi="Times New Roman" w:cs="Times New Roman"/>
          <w:sz w:val="24"/>
          <w:szCs w:val="24"/>
        </w:rPr>
        <w:t xml:space="preserve"> и имеет показатель 1,1%</w:t>
      </w:r>
      <w:r w:rsidRPr="00D472BB">
        <w:rPr>
          <w:rFonts w:ascii="Times New Roman" w:hAnsi="Times New Roman" w:cs="Times New Roman"/>
          <w:sz w:val="24"/>
          <w:szCs w:val="24"/>
        </w:rPr>
        <w:t xml:space="preserve">, </w:t>
      </w:r>
      <w:r w:rsidRPr="008B04E4">
        <w:rPr>
          <w:rFonts w:ascii="Times New Roman" w:hAnsi="Times New Roman" w:cs="Times New Roman"/>
          <w:sz w:val="24"/>
          <w:szCs w:val="24"/>
        </w:rPr>
        <w:t xml:space="preserve">находясь </w:t>
      </w:r>
      <w:r>
        <w:rPr>
          <w:rFonts w:ascii="Times New Roman" w:hAnsi="Times New Roman" w:cs="Times New Roman"/>
          <w:sz w:val="24"/>
          <w:szCs w:val="24"/>
        </w:rPr>
        <w:t xml:space="preserve">при этом </w:t>
      </w:r>
      <w:r w:rsidRPr="008B04E4">
        <w:rPr>
          <w:rFonts w:ascii="Times New Roman" w:hAnsi="Times New Roman" w:cs="Times New Roman"/>
          <w:sz w:val="24"/>
          <w:szCs w:val="24"/>
        </w:rPr>
        <w:t>на 34 месте. Даже в условиях достижения целевых параметров национального проекта «Наука» расходы России на науку увеличатся к 2024 году только до 1,2 % ВВП. При этом в Китае эти расходы составляют 2,1 % ВВП, в США – 2,7 % ВВП, в Германии – 2,9 % ВВП, а в странах-лидерах (Израиль, Республика Корея) превышают 4 % ВВП</w:t>
      </w:r>
      <w:r>
        <w:rPr>
          <w:rFonts w:ascii="Times New Roman" w:hAnsi="Times New Roman" w:cs="Times New Roman"/>
          <w:sz w:val="24"/>
          <w:szCs w:val="24"/>
        </w:rPr>
        <w:t xml:space="preserve"> (Таблица 1)</w:t>
      </w:r>
      <w:r w:rsidRPr="008B04E4">
        <w:rPr>
          <w:rFonts w:ascii="Times New Roman" w:hAnsi="Times New Roman" w:cs="Times New Roman"/>
          <w:sz w:val="24"/>
          <w:szCs w:val="24"/>
        </w:rPr>
        <w:t>. В этом случае, по оценке Института Внешэкономбанка, расходы на Научно-исследовательские и опытно-конструкторские работы могут обеспечить не более 0,15 % потенциального роста ВВП в ближайшие 10–15 лет, что не соответствует задаче перехода к преимущественно</w:t>
      </w:r>
      <w:r>
        <w:rPr>
          <w:rFonts w:ascii="Times New Roman" w:hAnsi="Times New Roman" w:cs="Times New Roman"/>
          <w:sz w:val="24"/>
          <w:szCs w:val="24"/>
        </w:rPr>
        <w:t xml:space="preserve"> инновационной модели развития. </w:t>
      </w:r>
      <w:r w:rsidRPr="008B04E4">
        <w:rPr>
          <w:rFonts w:ascii="Times New Roman" w:hAnsi="Times New Roman" w:cs="Times New Roman"/>
          <w:sz w:val="24"/>
          <w:szCs w:val="24"/>
        </w:rPr>
        <w:t>[3]</w:t>
      </w:r>
      <w:r>
        <w:rPr>
          <w:rFonts w:ascii="Times New Roman" w:hAnsi="Times New Roman" w:cs="Times New Roman"/>
          <w:sz w:val="24"/>
          <w:szCs w:val="24"/>
        </w:rPr>
        <w:t xml:space="preserve"> </w:t>
      </w:r>
    </w:p>
    <w:p w:rsidR="00B16F10" w:rsidRDefault="00B16F10" w:rsidP="00B16F10">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Таблица 1. </w:t>
      </w:r>
      <w:r w:rsidRPr="00A02F80">
        <w:rPr>
          <w:rFonts w:ascii="Times New Roman" w:hAnsi="Times New Roman" w:cs="Times New Roman"/>
          <w:b/>
          <w:sz w:val="24"/>
          <w:szCs w:val="24"/>
        </w:rPr>
        <w:t>Внутренние затраты на</w:t>
      </w:r>
      <w:r>
        <w:rPr>
          <w:rFonts w:ascii="Times New Roman" w:hAnsi="Times New Roman" w:cs="Times New Roman"/>
          <w:b/>
          <w:sz w:val="24"/>
          <w:szCs w:val="24"/>
        </w:rPr>
        <w:t xml:space="preserve"> исследования и разработки </w:t>
      </w:r>
    </w:p>
    <w:tbl>
      <w:tblPr>
        <w:tblStyle w:val="a4"/>
        <w:tblW w:w="0" w:type="auto"/>
        <w:tblLook w:val="04A0" w:firstRow="1" w:lastRow="0" w:firstColumn="1" w:lastColumn="0" w:noHBand="0" w:noVBand="1"/>
      </w:tblPr>
      <w:tblGrid>
        <w:gridCol w:w="3115"/>
        <w:gridCol w:w="3115"/>
        <w:gridCol w:w="3115"/>
      </w:tblGrid>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Страна</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Место</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Удельный вес в ВВП (в%)</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Израиль</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1</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4,25</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Республика Корея</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2</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4,24</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Швейцария</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3</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3,37</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Швеция</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4</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3,25</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США</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11</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2,74</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Китай</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15</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2,12</w:t>
            </w:r>
          </w:p>
        </w:tc>
      </w:tr>
      <w:tr w:rsidR="00B16F10" w:rsidRPr="00656F11" w:rsidTr="005418F9">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Россия</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34</w:t>
            </w:r>
          </w:p>
        </w:tc>
        <w:tc>
          <w:tcPr>
            <w:tcW w:w="3115" w:type="dxa"/>
          </w:tcPr>
          <w:p w:rsidR="00B16F10" w:rsidRPr="00656F11" w:rsidRDefault="00B16F10" w:rsidP="005418F9">
            <w:pPr>
              <w:pStyle w:val="a3"/>
              <w:jc w:val="center"/>
              <w:rPr>
                <w:rFonts w:ascii="Times New Roman" w:hAnsi="Times New Roman" w:cs="Times New Roman"/>
                <w:sz w:val="24"/>
                <w:szCs w:val="24"/>
              </w:rPr>
            </w:pPr>
            <w:r w:rsidRPr="00656F11">
              <w:rPr>
                <w:rFonts w:ascii="Times New Roman" w:hAnsi="Times New Roman" w:cs="Times New Roman"/>
                <w:sz w:val="24"/>
                <w:szCs w:val="24"/>
              </w:rPr>
              <w:t>1,10</w:t>
            </w:r>
          </w:p>
        </w:tc>
      </w:tr>
    </w:tbl>
    <w:p w:rsidR="00B16F10" w:rsidRPr="00A02F80" w:rsidRDefault="00B16F10" w:rsidP="00B16F10">
      <w:pPr>
        <w:pStyle w:val="a3"/>
        <w:rPr>
          <w:rFonts w:ascii="Times New Roman" w:hAnsi="Times New Roman" w:cs="Times New Roman"/>
          <w:b/>
          <w:sz w:val="24"/>
          <w:szCs w:val="24"/>
        </w:rPr>
      </w:pP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 xml:space="preserve">Основной источник финансирования науки в России – федеральный бюджет, ассигнования на науку в 2019 г. составили 422,15 млрд руб., или 2,65% всех расходов </w:t>
      </w:r>
      <w:r w:rsidRPr="008B04E4">
        <w:rPr>
          <w:rFonts w:ascii="Times New Roman" w:hAnsi="Times New Roman" w:cs="Times New Roman"/>
          <w:sz w:val="24"/>
          <w:szCs w:val="24"/>
        </w:rPr>
        <w:lastRenderedPageBreak/>
        <w:t>федерального бюджета. Соотношение в финансировании научных разработок государства и бизнеса составляет 70 процентов и 30 процентов</w:t>
      </w:r>
      <w:r w:rsidR="003B14FC">
        <w:rPr>
          <w:rFonts w:ascii="Times New Roman" w:hAnsi="Times New Roman" w:cs="Times New Roman"/>
          <w:sz w:val="24"/>
          <w:szCs w:val="24"/>
        </w:rPr>
        <w:t xml:space="preserve"> соответственно</w:t>
      </w:r>
      <w:r w:rsidRPr="008B04E4">
        <w:rPr>
          <w:rFonts w:ascii="Times New Roman" w:hAnsi="Times New Roman" w:cs="Times New Roman"/>
          <w:sz w:val="24"/>
          <w:szCs w:val="24"/>
        </w:rPr>
        <w:t>. [2] Доля бизнеса в финансировании науки при этом сокращается. При этом государство сэкономит на науке и исследованиях на фоне общего роста бюджетных расходов на 1,6% в 2021 году и сокращения на 2,5% в 2022-м.</w:t>
      </w:r>
    </w:p>
    <w:p w:rsidR="00656F11" w:rsidRDefault="00B16F10" w:rsidP="00656F11">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Так, доля частного сектора в финансировании исследования и разработок в 2017 году составила: в Японии – 78,1 %, США – 62,5 %, Германии – 65,2 %, Китае – 76,1 %, России – 30,2 %; доля государственного финансирования: в Японии – 15 %, США – 25,1 %, Германии – 28,5 %, Китае – 20 %, России – 66,2 %. [4]</w:t>
      </w:r>
      <w:r w:rsidR="00635F9D">
        <w:rPr>
          <w:rFonts w:ascii="Times New Roman" w:hAnsi="Times New Roman" w:cs="Times New Roman"/>
          <w:sz w:val="24"/>
          <w:szCs w:val="24"/>
        </w:rPr>
        <w:t xml:space="preserve"> (Таблица 2)</w:t>
      </w:r>
    </w:p>
    <w:p w:rsidR="00656F11" w:rsidRPr="00635F9D" w:rsidRDefault="00656F11" w:rsidP="00656F11">
      <w:pPr>
        <w:pStyle w:val="a3"/>
        <w:ind w:firstLine="709"/>
        <w:jc w:val="center"/>
        <w:rPr>
          <w:rFonts w:ascii="Times New Roman" w:hAnsi="Times New Roman" w:cs="Times New Roman"/>
          <w:b/>
          <w:sz w:val="24"/>
          <w:szCs w:val="24"/>
        </w:rPr>
      </w:pPr>
      <w:r w:rsidRPr="00635F9D">
        <w:rPr>
          <w:rFonts w:ascii="Times New Roman" w:hAnsi="Times New Roman" w:cs="Times New Roman"/>
          <w:b/>
          <w:sz w:val="24"/>
          <w:szCs w:val="24"/>
        </w:rPr>
        <w:t xml:space="preserve">Таблица 2. </w:t>
      </w:r>
      <w:r w:rsidR="00635F9D" w:rsidRPr="00635F9D">
        <w:rPr>
          <w:rFonts w:ascii="Times New Roman" w:hAnsi="Times New Roman" w:cs="Times New Roman"/>
          <w:b/>
          <w:sz w:val="24"/>
          <w:szCs w:val="24"/>
        </w:rPr>
        <w:t>Внутренние</w:t>
      </w:r>
      <w:r w:rsidRPr="00635F9D">
        <w:rPr>
          <w:rFonts w:ascii="Times New Roman" w:hAnsi="Times New Roman" w:cs="Times New Roman"/>
          <w:b/>
          <w:sz w:val="24"/>
          <w:szCs w:val="24"/>
        </w:rPr>
        <w:t xml:space="preserve"> затрат</w:t>
      </w:r>
      <w:r w:rsidR="00635F9D" w:rsidRPr="00635F9D">
        <w:rPr>
          <w:rFonts w:ascii="Times New Roman" w:hAnsi="Times New Roman" w:cs="Times New Roman"/>
          <w:b/>
          <w:sz w:val="24"/>
          <w:szCs w:val="24"/>
        </w:rPr>
        <w:t>ы</w:t>
      </w:r>
      <w:r w:rsidRPr="00635F9D">
        <w:rPr>
          <w:rFonts w:ascii="Times New Roman" w:hAnsi="Times New Roman" w:cs="Times New Roman"/>
          <w:b/>
          <w:sz w:val="24"/>
          <w:szCs w:val="24"/>
        </w:rPr>
        <w:t xml:space="preserve"> на исследования и разработки по источникам финансирования</w:t>
      </w:r>
      <w:r w:rsidR="00635F9D">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1568"/>
        <w:gridCol w:w="2166"/>
        <w:gridCol w:w="2241"/>
        <w:gridCol w:w="1681"/>
        <w:gridCol w:w="1689"/>
      </w:tblGrid>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Страна</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Доля частного сектора в финансировании</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Д</w:t>
            </w:r>
            <w:r w:rsidRPr="008B04E4">
              <w:rPr>
                <w:rFonts w:ascii="Times New Roman" w:hAnsi="Times New Roman" w:cs="Times New Roman"/>
                <w:sz w:val="24"/>
                <w:szCs w:val="24"/>
              </w:rPr>
              <w:t>оля государственного финансирования</w:t>
            </w:r>
          </w:p>
        </w:tc>
        <w:tc>
          <w:tcPr>
            <w:tcW w:w="1733"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Иностранные источники</w:t>
            </w:r>
          </w:p>
        </w:tc>
        <w:tc>
          <w:tcPr>
            <w:tcW w:w="1126"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Другие национальные источники</w:t>
            </w:r>
          </w:p>
        </w:tc>
      </w:tr>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Япония</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78,1</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733"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126"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4,4</w:t>
            </w:r>
          </w:p>
        </w:tc>
      </w:tr>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США</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62,5</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25,1</w:t>
            </w:r>
          </w:p>
        </w:tc>
        <w:tc>
          <w:tcPr>
            <w:tcW w:w="1733"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1126"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7,1</w:t>
            </w:r>
          </w:p>
        </w:tc>
      </w:tr>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Германия</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65,2</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28,5</w:t>
            </w:r>
          </w:p>
        </w:tc>
        <w:tc>
          <w:tcPr>
            <w:tcW w:w="1733"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126" w:type="dxa"/>
          </w:tcPr>
          <w:p w:rsidR="00635F9D" w:rsidRDefault="000E1D2D" w:rsidP="00656F11">
            <w:pPr>
              <w:pStyle w:val="a3"/>
              <w:jc w:val="center"/>
              <w:rPr>
                <w:rFonts w:ascii="Times New Roman" w:hAnsi="Times New Roman" w:cs="Times New Roman"/>
                <w:sz w:val="24"/>
                <w:szCs w:val="24"/>
              </w:rPr>
            </w:pPr>
            <w:r>
              <w:rPr>
                <w:rFonts w:ascii="Times New Roman" w:hAnsi="Times New Roman" w:cs="Times New Roman"/>
                <w:sz w:val="24"/>
                <w:szCs w:val="24"/>
              </w:rPr>
              <w:t>5,2</w:t>
            </w:r>
          </w:p>
        </w:tc>
      </w:tr>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Китай</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76,1</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20</w:t>
            </w:r>
            <w:r w:rsidR="000E1D2D">
              <w:rPr>
                <w:rFonts w:ascii="Times New Roman" w:hAnsi="Times New Roman" w:cs="Times New Roman"/>
                <w:sz w:val="24"/>
                <w:szCs w:val="24"/>
              </w:rPr>
              <w:t>,0</w:t>
            </w:r>
          </w:p>
        </w:tc>
        <w:tc>
          <w:tcPr>
            <w:tcW w:w="1733" w:type="dxa"/>
          </w:tcPr>
          <w:p w:rsidR="00635F9D" w:rsidRDefault="000E1D2D" w:rsidP="00656F11">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126" w:type="dxa"/>
          </w:tcPr>
          <w:p w:rsidR="00635F9D" w:rsidRDefault="000E1D2D" w:rsidP="00656F11">
            <w:pPr>
              <w:pStyle w:val="a3"/>
              <w:jc w:val="center"/>
              <w:rPr>
                <w:rFonts w:ascii="Times New Roman" w:hAnsi="Times New Roman" w:cs="Times New Roman"/>
                <w:sz w:val="24"/>
                <w:szCs w:val="24"/>
              </w:rPr>
            </w:pPr>
            <w:r>
              <w:rPr>
                <w:rFonts w:ascii="Times New Roman" w:hAnsi="Times New Roman" w:cs="Times New Roman"/>
                <w:sz w:val="24"/>
                <w:szCs w:val="24"/>
              </w:rPr>
              <w:t>1,8</w:t>
            </w:r>
          </w:p>
        </w:tc>
      </w:tr>
      <w:tr w:rsidR="00635F9D" w:rsidTr="00635F9D">
        <w:tc>
          <w:tcPr>
            <w:tcW w:w="1802"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Россия</w:t>
            </w:r>
          </w:p>
        </w:tc>
        <w:tc>
          <w:tcPr>
            <w:tcW w:w="2310"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30,2</w:t>
            </w:r>
          </w:p>
        </w:tc>
        <w:tc>
          <w:tcPr>
            <w:tcW w:w="2374" w:type="dxa"/>
          </w:tcPr>
          <w:p w:rsidR="00635F9D" w:rsidRDefault="00635F9D" w:rsidP="00656F11">
            <w:pPr>
              <w:pStyle w:val="a3"/>
              <w:jc w:val="center"/>
              <w:rPr>
                <w:rFonts w:ascii="Times New Roman" w:hAnsi="Times New Roman" w:cs="Times New Roman"/>
                <w:sz w:val="24"/>
                <w:szCs w:val="24"/>
              </w:rPr>
            </w:pPr>
            <w:r>
              <w:rPr>
                <w:rFonts w:ascii="Times New Roman" w:hAnsi="Times New Roman" w:cs="Times New Roman"/>
                <w:sz w:val="24"/>
                <w:szCs w:val="24"/>
              </w:rPr>
              <w:t>66,2</w:t>
            </w:r>
          </w:p>
        </w:tc>
        <w:tc>
          <w:tcPr>
            <w:tcW w:w="1733" w:type="dxa"/>
          </w:tcPr>
          <w:p w:rsidR="00635F9D" w:rsidRDefault="00F4764E" w:rsidP="00656F11">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1126" w:type="dxa"/>
          </w:tcPr>
          <w:p w:rsidR="00635F9D" w:rsidRDefault="00F4764E" w:rsidP="00656F11">
            <w:pPr>
              <w:pStyle w:val="a3"/>
              <w:jc w:val="center"/>
              <w:rPr>
                <w:rFonts w:ascii="Times New Roman" w:hAnsi="Times New Roman" w:cs="Times New Roman"/>
                <w:sz w:val="24"/>
                <w:szCs w:val="24"/>
              </w:rPr>
            </w:pPr>
            <w:r>
              <w:rPr>
                <w:rFonts w:ascii="Times New Roman" w:hAnsi="Times New Roman" w:cs="Times New Roman"/>
                <w:sz w:val="24"/>
                <w:szCs w:val="24"/>
              </w:rPr>
              <w:t>1,4</w:t>
            </w:r>
          </w:p>
        </w:tc>
      </w:tr>
    </w:tbl>
    <w:p w:rsidR="00656F11" w:rsidRPr="008B04E4" w:rsidRDefault="00656F11" w:rsidP="00656F11">
      <w:pPr>
        <w:pStyle w:val="a3"/>
        <w:ind w:firstLine="709"/>
        <w:jc w:val="both"/>
        <w:rPr>
          <w:rFonts w:ascii="Times New Roman" w:hAnsi="Times New Roman" w:cs="Times New Roman"/>
          <w:sz w:val="24"/>
          <w:szCs w:val="24"/>
        </w:rPr>
      </w:pP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Данное обстоятельство свидетельствует о том, что в России наблюдаются низкие заинтересованность и потребность бизнес-сообщества в результатах научных исследований и инновационных разработок.</w:t>
      </w: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Это факт, по-видимому, обусловлен рядом причин, одной из основных является желание предпринимательского сектора быстро внедрить и получить отдачу от результатов исследования и разработок, что почти в 90% невозможно в течение 5-10 лет для инновационного процесса. Также для развития инновационной экономики страны мешают такие проблемы, как сырьевая ориентация экспорта, устаревшие основные производственные фонды, низкая производительность труда, недостаточно благоприятные условия для ведения бизнеса (правовые факторы и высокий уровень налогов).</w:t>
      </w:r>
    </w:p>
    <w:p w:rsidR="00B16F10" w:rsidRPr="008B04E4"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Наибольшая доля внутренних затрат на исследовательские разработки приходится на предпринимательский сектор (60.7%); на втором месте – государственный (28.3%); далее следует сектор высшего образования (10.6%). (Рис.1)</w:t>
      </w:r>
      <w:r>
        <w:rPr>
          <w:rFonts w:ascii="Times New Roman" w:hAnsi="Times New Roman" w:cs="Times New Roman"/>
          <w:sz w:val="24"/>
          <w:szCs w:val="24"/>
        </w:rPr>
        <w:t xml:space="preserve"> Несоответствие</w:t>
      </w:r>
      <w:r w:rsidRPr="00D472BB">
        <w:rPr>
          <w:rFonts w:ascii="Times New Roman" w:hAnsi="Times New Roman" w:cs="Times New Roman"/>
          <w:sz w:val="24"/>
          <w:szCs w:val="24"/>
        </w:rPr>
        <w:t xml:space="preserve"> между значением бизнеса как источника финансирования и как «по</w:t>
      </w:r>
      <w:r>
        <w:rPr>
          <w:rFonts w:ascii="Times New Roman" w:hAnsi="Times New Roman" w:cs="Times New Roman"/>
          <w:sz w:val="24"/>
          <w:szCs w:val="24"/>
        </w:rPr>
        <w:t>требителя» средств, которые направляются</w:t>
      </w:r>
      <w:r w:rsidRPr="00D472BB">
        <w:rPr>
          <w:rFonts w:ascii="Times New Roman" w:hAnsi="Times New Roman" w:cs="Times New Roman"/>
          <w:sz w:val="24"/>
          <w:szCs w:val="24"/>
        </w:rPr>
        <w:t xml:space="preserve"> на развитие науки из всех источн</w:t>
      </w:r>
      <w:r>
        <w:rPr>
          <w:rFonts w:ascii="Times New Roman" w:hAnsi="Times New Roman" w:cs="Times New Roman"/>
          <w:sz w:val="24"/>
          <w:szCs w:val="24"/>
        </w:rPr>
        <w:t>иков, позволяет раскрыть</w:t>
      </w:r>
      <w:r w:rsidRPr="00D472BB">
        <w:rPr>
          <w:rFonts w:ascii="Times New Roman" w:hAnsi="Times New Roman" w:cs="Times New Roman"/>
          <w:sz w:val="24"/>
          <w:szCs w:val="24"/>
        </w:rPr>
        <w:t xml:space="preserve"> причин</w:t>
      </w:r>
      <w:r>
        <w:rPr>
          <w:rFonts w:ascii="Times New Roman" w:hAnsi="Times New Roman" w:cs="Times New Roman"/>
          <w:sz w:val="24"/>
          <w:szCs w:val="24"/>
        </w:rPr>
        <w:t>у</w:t>
      </w:r>
      <w:r w:rsidRPr="00D472BB">
        <w:rPr>
          <w:rFonts w:ascii="Times New Roman" w:hAnsi="Times New Roman" w:cs="Times New Roman"/>
          <w:sz w:val="24"/>
          <w:szCs w:val="24"/>
        </w:rPr>
        <w:t xml:space="preserve"> низких масштабов и невысокого в целом уровня отдачи этих вложений. </w:t>
      </w:r>
      <w:r w:rsidRPr="009C1210">
        <w:rPr>
          <w:rFonts w:ascii="Times New Roman" w:hAnsi="Times New Roman" w:cs="Times New Roman"/>
          <w:sz w:val="24"/>
          <w:szCs w:val="24"/>
        </w:rPr>
        <w:t>Получая средства от государства, российские компании, в том числе крупные, не проявляют активности в этой сфере, а заменяют или пытаются заменить собственные затраты (на исследования и разработки, приобретение научных результатов и новых технологий) государственными.</w:t>
      </w:r>
    </w:p>
    <w:p w:rsidR="00996BB7" w:rsidRDefault="00996BB7" w:rsidP="00996BB7">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Рис. 1. Структура внутренних затрат на исследования и разработки по секторам науки (%) [5]</w:t>
      </w:r>
    </w:p>
    <w:p w:rsidR="00996BB7" w:rsidRDefault="00996BB7" w:rsidP="00996BB7">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FE17657" wp14:editId="4785C27E">
            <wp:extent cx="5934075" cy="1628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628775"/>
                    </a:xfrm>
                    <a:prstGeom prst="rect">
                      <a:avLst/>
                    </a:prstGeom>
                    <a:noFill/>
                    <a:ln>
                      <a:noFill/>
                    </a:ln>
                  </pic:spPr>
                </pic:pic>
              </a:graphicData>
            </a:graphic>
          </wp:inline>
        </w:drawing>
      </w:r>
    </w:p>
    <w:p w:rsidR="00996BB7" w:rsidRDefault="00996BB7" w:rsidP="00996BB7">
      <w:pPr>
        <w:pStyle w:val="a3"/>
        <w:jc w:val="both"/>
        <w:rPr>
          <w:rFonts w:ascii="Times New Roman" w:hAnsi="Times New Roman" w:cs="Times New Roman"/>
          <w:sz w:val="24"/>
          <w:szCs w:val="24"/>
        </w:rPr>
      </w:pPr>
    </w:p>
    <w:p w:rsidR="00996BB7" w:rsidRDefault="00B16F10" w:rsidP="00996BB7">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lastRenderedPageBreak/>
        <w:t>В целом за период 2010–2019 гг. объем внутренних затрат на исследования и разработки в абсолютном выражении увеличился в постоянных ценах в секторе высшего образования на 44.3%, в предпринимательском секторе – на 13.7%, в государственном – на 3.6%. (Рис.2)</w:t>
      </w:r>
    </w:p>
    <w:p w:rsidR="00996BB7" w:rsidRDefault="00996BB7" w:rsidP="00996BB7">
      <w:pPr>
        <w:pStyle w:val="a3"/>
        <w:ind w:firstLine="709"/>
        <w:jc w:val="both"/>
        <w:rPr>
          <w:rFonts w:ascii="Times New Roman" w:hAnsi="Times New Roman" w:cs="Times New Roman"/>
          <w:sz w:val="24"/>
          <w:szCs w:val="24"/>
        </w:rPr>
      </w:pPr>
    </w:p>
    <w:p w:rsidR="00996BB7" w:rsidRDefault="00996BB7" w:rsidP="00996BB7">
      <w:pPr>
        <w:pStyle w:val="a3"/>
        <w:ind w:firstLine="709"/>
        <w:jc w:val="both"/>
        <w:rPr>
          <w:rFonts w:ascii="Times New Roman" w:hAnsi="Times New Roman" w:cs="Times New Roman"/>
          <w:sz w:val="24"/>
          <w:szCs w:val="24"/>
        </w:rPr>
      </w:pPr>
    </w:p>
    <w:p w:rsidR="00996BB7" w:rsidRDefault="00996BB7" w:rsidP="00996BB7">
      <w:pPr>
        <w:pStyle w:val="a3"/>
        <w:ind w:left="708" w:firstLine="709"/>
        <w:jc w:val="center"/>
        <w:rPr>
          <w:rFonts w:ascii="Times New Roman" w:hAnsi="Times New Roman" w:cs="Times New Roman"/>
          <w:b/>
          <w:sz w:val="24"/>
          <w:szCs w:val="24"/>
        </w:rPr>
      </w:pPr>
      <w:r>
        <w:rPr>
          <w:rFonts w:ascii="Times New Roman" w:hAnsi="Times New Roman" w:cs="Times New Roman"/>
          <w:b/>
          <w:sz w:val="24"/>
          <w:szCs w:val="24"/>
        </w:rPr>
        <w:t>Рис. 2. Ежегодные темпы прироста внутренних затрат на исследования и разработки в секторах науки (%) [5]</w:t>
      </w:r>
    </w:p>
    <w:p w:rsidR="00996BB7" w:rsidRDefault="00996BB7" w:rsidP="00996BB7">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1834246" wp14:editId="539263DA">
            <wp:extent cx="594360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rsidR="00996BB7" w:rsidRPr="00346C9A" w:rsidRDefault="00996BB7" w:rsidP="00996BB7">
      <w:pPr>
        <w:pStyle w:val="a3"/>
        <w:jc w:val="both"/>
        <w:rPr>
          <w:rFonts w:ascii="Times New Roman" w:hAnsi="Times New Roman" w:cs="Times New Roman"/>
          <w:sz w:val="24"/>
          <w:szCs w:val="24"/>
        </w:rPr>
      </w:pPr>
    </w:p>
    <w:p w:rsidR="00996BB7" w:rsidRPr="008B04E4" w:rsidRDefault="00996BB7" w:rsidP="00B16F10">
      <w:pPr>
        <w:pStyle w:val="a3"/>
        <w:ind w:firstLine="709"/>
        <w:jc w:val="both"/>
        <w:rPr>
          <w:rFonts w:ascii="Times New Roman" w:hAnsi="Times New Roman" w:cs="Times New Roman"/>
          <w:sz w:val="24"/>
          <w:szCs w:val="24"/>
        </w:rPr>
      </w:pPr>
    </w:p>
    <w:p w:rsidR="00B16F10" w:rsidRDefault="00B16F10" w:rsidP="00B16F10">
      <w:pPr>
        <w:pStyle w:val="a3"/>
        <w:ind w:firstLine="709"/>
        <w:jc w:val="both"/>
        <w:rPr>
          <w:rFonts w:ascii="Times New Roman" w:hAnsi="Times New Roman" w:cs="Times New Roman"/>
          <w:sz w:val="24"/>
          <w:szCs w:val="24"/>
        </w:rPr>
      </w:pPr>
      <w:r w:rsidRPr="008B04E4">
        <w:rPr>
          <w:rFonts w:ascii="Times New Roman" w:hAnsi="Times New Roman" w:cs="Times New Roman"/>
          <w:sz w:val="24"/>
          <w:szCs w:val="24"/>
        </w:rPr>
        <w:t>Таким образом, внутренние затраты на исследования и разработки и бюджетное финансирование науки являются важнейшими показателями для успешного развития инновационной экономики любой страны. Необходимо на государственном уровне уделить внимание вопросу повышения уровня финансовых затрат на исследования и разработки в России, а также создавать условия для вовлечения частного сектора в финансирование исследований и разработок.</w:t>
      </w:r>
    </w:p>
    <w:p w:rsidR="004201A6" w:rsidRDefault="004201A6"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29668F" w:rsidRDefault="0029668F" w:rsidP="00B16F10">
      <w:pPr>
        <w:pStyle w:val="a3"/>
        <w:ind w:firstLine="709"/>
        <w:jc w:val="both"/>
        <w:rPr>
          <w:rFonts w:ascii="Times New Roman" w:hAnsi="Times New Roman" w:cs="Times New Roman"/>
          <w:sz w:val="24"/>
          <w:szCs w:val="24"/>
        </w:rPr>
      </w:pPr>
    </w:p>
    <w:p w:rsidR="0029668F" w:rsidRDefault="0029668F"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996BB7" w:rsidRDefault="00996BB7" w:rsidP="00B16F10">
      <w:pPr>
        <w:pStyle w:val="a3"/>
        <w:ind w:firstLine="709"/>
        <w:jc w:val="both"/>
        <w:rPr>
          <w:rFonts w:ascii="Times New Roman" w:hAnsi="Times New Roman" w:cs="Times New Roman"/>
          <w:sz w:val="24"/>
          <w:szCs w:val="24"/>
        </w:rPr>
      </w:pPr>
    </w:p>
    <w:p w:rsidR="004201A6" w:rsidRDefault="004201A6" w:rsidP="00B16F10">
      <w:pPr>
        <w:pStyle w:val="a3"/>
        <w:ind w:firstLine="709"/>
        <w:jc w:val="both"/>
        <w:rPr>
          <w:rFonts w:ascii="Times New Roman" w:hAnsi="Times New Roman" w:cs="Times New Roman"/>
          <w:sz w:val="24"/>
          <w:szCs w:val="24"/>
        </w:rPr>
      </w:pPr>
    </w:p>
    <w:p w:rsidR="004201A6" w:rsidRPr="008B04E4" w:rsidRDefault="004201A6" w:rsidP="00B16F10">
      <w:pPr>
        <w:pStyle w:val="a3"/>
        <w:ind w:firstLine="709"/>
        <w:jc w:val="both"/>
        <w:rPr>
          <w:rFonts w:ascii="Times New Roman" w:hAnsi="Times New Roman" w:cs="Times New Roman"/>
          <w:sz w:val="24"/>
          <w:szCs w:val="24"/>
        </w:rPr>
      </w:pPr>
    </w:p>
    <w:p w:rsidR="00B16F10" w:rsidRDefault="00B16F10" w:rsidP="00B16F10">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B16F10" w:rsidRDefault="00B16F10" w:rsidP="00B16F1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A6B25">
        <w:rPr>
          <w:rFonts w:ascii="Times New Roman" w:hAnsi="Times New Roman" w:cs="Times New Roman"/>
          <w:sz w:val="24"/>
          <w:szCs w:val="24"/>
        </w:rPr>
        <w:t>Федеральный закон "О науке и государственной научно-технической политике" от 23.08.1996 N 127-ФЗ</w:t>
      </w:r>
      <w:r>
        <w:rPr>
          <w:rFonts w:ascii="Times New Roman" w:hAnsi="Times New Roman" w:cs="Times New Roman"/>
          <w:sz w:val="24"/>
          <w:szCs w:val="24"/>
        </w:rPr>
        <w:t>.</w:t>
      </w:r>
    </w:p>
    <w:p w:rsidR="00B16F10" w:rsidRDefault="00B16F10" w:rsidP="00B16F1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D7D34">
        <w:rPr>
          <w:rFonts w:ascii="Times New Roman" w:hAnsi="Times New Roman" w:cs="Times New Roman"/>
          <w:sz w:val="24"/>
          <w:szCs w:val="24"/>
        </w:rPr>
        <w:t>Гохберг</w:t>
      </w:r>
      <w:proofErr w:type="spellEnd"/>
      <w:r w:rsidRPr="004D7D34">
        <w:rPr>
          <w:rFonts w:ascii="Times New Roman" w:hAnsi="Times New Roman" w:cs="Times New Roman"/>
          <w:sz w:val="24"/>
          <w:szCs w:val="24"/>
        </w:rPr>
        <w:t xml:space="preserve"> Л.М., </w:t>
      </w:r>
      <w:proofErr w:type="spellStart"/>
      <w:r w:rsidRPr="004D7D34">
        <w:rPr>
          <w:rFonts w:ascii="Times New Roman" w:hAnsi="Times New Roman" w:cs="Times New Roman"/>
          <w:sz w:val="24"/>
          <w:szCs w:val="24"/>
        </w:rPr>
        <w:t>Дитковский</w:t>
      </w:r>
      <w:proofErr w:type="spellEnd"/>
      <w:r w:rsidRPr="004D7D34">
        <w:rPr>
          <w:rFonts w:ascii="Times New Roman" w:hAnsi="Times New Roman" w:cs="Times New Roman"/>
          <w:sz w:val="24"/>
          <w:szCs w:val="24"/>
        </w:rPr>
        <w:t xml:space="preserve"> К.А., Дьяченко Е.Л. Индикаторы науки: 2019. / Статистический сборник. – М.: НИУ ВШЭ, 2019. – 328 c.</w:t>
      </w:r>
      <w:r w:rsidRPr="006574D1">
        <w:rPr>
          <w:rFonts w:ascii="Times New Roman" w:hAnsi="Times New Roman" w:cs="Times New Roman"/>
          <w:sz w:val="24"/>
          <w:szCs w:val="24"/>
        </w:rPr>
        <w:t>.</w:t>
      </w:r>
    </w:p>
    <w:p w:rsidR="00B16F10" w:rsidRPr="004D7D34" w:rsidRDefault="00B16F10" w:rsidP="00B16F10">
      <w:pPr>
        <w:pStyle w:val="a3"/>
        <w:ind w:firstLine="709"/>
        <w:jc w:val="both"/>
        <w:rPr>
          <w:rFonts w:ascii="Times New Roman" w:hAnsi="Times New Roman" w:cs="Times New Roman"/>
          <w:sz w:val="24"/>
          <w:szCs w:val="24"/>
        </w:rPr>
      </w:pPr>
      <w:r w:rsidRPr="00B55D42">
        <w:rPr>
          <w:rFonts w:ascii="Times New Roman" w:hAnsi="Times New Roman" w:cs="Times New Roman"/>
          <w:sz w:val="24"/>
          <w:szCs w:val="24"/>
        </w:rPr>
        <w:t xml:space="preserve">3. </w:t>
      </w:r>
      <w:r w:rsidRPr="009C6DA5">
        <w:rPr>
          <w:rFonts w:ascii="Times New Roman" w:hAnsi="Times New Roman" w:cs="Times New Roman"/>
          <w:sz w:val="24"/>
          <w:szCs w:val="24"/>
        </w:rPr>
        <w:t>Егоров Н.Е.</w:t>
      </w:r>
      <w:r>
        <w:rPr>
          <w:rFonts w:ascii="Times New Roman" w:hAnsi="Times New Roman" w:cs="Times New Roman"/>
          <w:sz w:val="24"/>
          <w:szCs w:val="24"/>
        </w:rPr>
        <w:t xml:space="preserve"> </w:t>
      </w:r>
      <w:r w:rsidRPr="009C6DA5">
        <w:rPr>
          <w:rFonts w:ascii="Times New Roman" w:hAnsi="Times New Roman" w:cs="Times New Roman"/>
          <w:sz w:val="24"/>
          <w:szCs w:val="24"/>
        </w:rPr>
        <w:t>Сравнительный анализ финансовых затрат стран мира и России на исследования и разработки</w:t>
      </w:r>
      <w:r>
        <w:rPr>
          <w:rFonts w:ascii="Times New Roman" w:hAnsi="Times New Roman" w:cs="Times New Roman"/>
          <w:sz w:val="24"/>
          <w:szCs w:val="24"/>
        </w:rPr>
        <w:t xml:space="preserve"> / Вопросы иннов</w:t>
      </w:r>
      <w:r w:rsidRPr="009C6DA5">
        <w:rPr>
          <w:rFonts w:ascii="Times New Roman" w:hAnsi="Times New Roman" w:cs="Times New Roman"/>
          <w:sz w:val="24"/>
          <w:szCs w:val="24"/>
        </w:rPr>
        <w:t>ационной экономики</w:t>
      </w:r>
      <w:r>
        <w:rPr>
          <w:rFonts w:ascii="Times New Roman" w:hAnsi="Times New Roman" w:cs="Times New Roman"/>
          <w:sz w:val="24"/>
          <w:szCs w:val="24"/>
        </w:rPr>
        <w:t xml:space="preserve"> / </w:t>
      </w:r>
      <w:r w:rsidRPr="009C6DA5">
        <w:rPr>
          <w:rFonts w:ascii="Times New Roman" w:hAnsi="Times New Roman" w:cs="Times New Roman"/>
          <w:sz w:val="24"/>
          <w:szCs w:val="24"/>
        </w:rPr>
        <w:t xml:space="preserve">НИИ региональной экономики Севера Северо-Восточного федерального университета им. М.К. </w:t>
      </w:r>
      <w:proofErr w:type="spellStart"/>
      <w:r w:rsidRPr="009C6DA5">
        <w:rPr>
          <w:rFonts w:ascii="Times New Roman" w:hAnsi="Times New Roman" w:cs="Times New Roman"/>
          <w:sz w:val="24"/>
          <w:szCs w:val="24"/>
        </w:rPr>
        <w:t>Аммосова</w:t>
      </w:r>
      <w:proofErr w:type="spellEnd"/>
      <w:r w:rsidRPr="009C6DA5">
        <w:rPr>
          <w:rFonts w:ascii="Times New Roman" w:hAnsi="Times New Roman" w:cs="Times New Roman"/>
          <w:sz w:val="24"/>
          <w:szCs w:val="24"/>
        </w:rPr>
        <w:t>, Якутск, Россия</w:t>
      </w:r>
      <w:r>
        <w:rPr>
          <w:rFonts w:ascii="Times New Roman" w:hAnsi="Times New Roman" w:cs="Times New Roman"/>
          <w:sz w:val="24"/>
          <w:szCs w:val="24"/>
        </w:rPr>
        <w:t xml:space="preserve">, 2019. Т. 9. - С. 1205-1214. </w:t>
      </w:r>
      <w:r w:rsidRPr="009C6DA5">
        <w:rPr>
          <w:rFonts w:ascii="Times New Roman" w:hAnsi="Times New Roman" w:cs="Times New Roman"/>
          <w:sz w:val="24"/>
          <w:szCs w:val="24"/>
        </w:rPr>
        <w:t>ISSN 2222-0372</w:t>
      </w:r>
      <w:r>
        <w:rPr>
          <w:rFonts w:ascii="Times New Roman" w:hAnsi="Times New Roman" w:cs="Times New Roman"/>
          <w:sz w:val="24"/>
          <w:szCs w:val="24"/>
        </w:rPr>
        <w:t>.</w:t>
      </w:r>
    </w:p>
    <w:p w:rsidR="00B16F10" w:rsidRDefault="00B16F10" w:rsidP="00B16F10">
      <w:pPr>
        <w:pStyle w:val="a3"/>
        <w:ind w:firstLine="709"/>
        <w:jc w:val="both"/>
        <w:rPr>
          <w:rFonts w:ascii="Times New Roman" w:hAnsi="Times New Roman" w:cs="Times New Roman"/>
          <w:sz w:val="24"/>
          <w:szCs w:val="24"/>
        </w:rPr>
      </w:pPr>
      <w:r>
        <w:rPr>
          <w:rFonts w:ascii="Times New Roman" w:hAnsi="Times New Roman" w:cs="Times New Roman"/>
          <w:sz w:val="24"/>
          <w:szCs w:val="24"/>
        </w:rPr>
        <w:t>4. Отчет Счетной палаты РФ «О</w:t>
      </w:r>
      <w:r w:rsidRPr="008136E0">
        <w:rPr>
          <w:rFonts w:ascii="Times New Roman" w:hAnsi="Times New Roman" w:cs="Times New Roman"/>
          <w:sz w:val="24"/>
          <w:szCs w:val="24"/>
        </w:rPr>
        <w:t xml:space="preserve"> результатах экспертно-аналитического мероприятия «Определение основных причин, сдерживающих научное развитие в Российской Федерации: оценка научной инфраструктуры, достаточность мотивационных мер, обеспечение привлека</w:t>
      </w:r>
      <w:r>
        <w:rPr>
          <w:rFonts w:ascii="Times New Roman" w:hAnsi="Times New Roman" w:cs="Times New Roman"/>
          <w:sz w:val="24"/>
          <w:szCs w:val="24"/>
        </w:rPr>
        <w:t>тельности работы ведущих ученых 2020 года».</w:t>
      </w:r>
    </w:p>
    <w:p w:rsidR="00B16F10" w:rsidRDefault="00B16F10" w:rsidP="00B16F10">
      <w:pPr>
        <w:pStyle w:val="a3"/>
        <w:ind w:firstLine="709"/>
        <w:jc w:val="both"/>
        <w:rPr>
          <w:rStyle w:val="a5"/>
          <w:rFonts w:ascii="Times New Roman" w:hAnsi="Times New Roman" w:cs="Times New Roman"/>
          <w:sz w:val="24"/>
          <w:szCs w:val="24"/>
        </w:rPr>
      </w:pPr>
      <w:r>
        <w:rPr>
          <w:rFonts w:ascii="Times New Roman" w:hAnsi="Times New Roman" w:cs="Times New Roman"/>
          <w:sz w:val="24"/>
          <w:szCs w:val="24"/>
        </w:rPr>
        <w:t>5. Официальный сайт И</w:t>
      </w:r>
      <w:r w:rsidRPr="001F49F9">
        <w:rPr>
          <w:rFonts w:ascii="Times New Roman" w:hAnsi="Times New Roman" w:cs="Times New Roman"/>
          <w:sz w:val="24"/>
          <w:szCs w:val="24"/>
        </w:rPr>
        <w:t>нститут</w:t>
      </w:r>
      <w:r>
        <w:rPr>
          <w:rFonts w:ascii="Times New Roman" w:hAnsi="Times New Roman" w:cs="Times New Roman"/>
          <w:sz w:val="24"/>
          <w:szCs w:val="24"/>
        </w:rPr>
        <w:t>а</w:t>
      </w:r>
      <w:r w:rsidRPr="001F49F9">
        <w:rPr>
          <w:rFonts w:ascii="Times New Roman" w:hAnsi="Times New Roman" w:cs="Times New Roman"/>
          <w:sz w:val="24"/>
          <w:szCs w:val="24"/>
        </w:rPr>
        <w:t xml:space="preserve"> статистических исследований и экономики знаний</w:t>
      </w:r>
      <w:r>
        <w:rPr>
          <w:rFonts w:ascii="Times New Roman" w:hAnsi="Times New Roman" w:cs="Times New Roman"/>
          <w:sz w:val="24"/>
          <w:szCs w:val="24"/>
        </w:rPr>
        <w:t xml:space="preserve"> </w:t>
      </w:r>
      <w:hyperlink r:id="rId8" w:history="1">
        <w:r w:rsidRPr="00210331">
          <w:rPr>
            <w:rStyle w:val="a5"/>
            <w:rFonts w:ascii="Times New Roman" w:hAnsi="Times New Roman" w:cs="Times New Roman"/>
            <w:sz w:val="24"/>
            <w:szCs w:val="24"/>
          </w:rPr>
          <w:t>http://issek.hse.ru/</w:t>
        </w:r>
      </w:hyperlink>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A943DC" w:rsidRDefault="00A943DC" w:rsidP="00B16F10">
      <w:pPr>
        <w:pStyle w:val="a3"/>
        <w:ind w:firstLine="709"/>
        <w:jc w:val="both"/>
        <w:rPr>
          <w:rStyle w:val="a5"/>
          <w:rFonts w:ascii="Times New Roman" w:hAnsi="Times New Roman" w:cs="Times New Roman"/>
          <w:sz w:val="24"/>
          <w:szCs w:val="24"/>
        </w:rPr>
      </w:pPr>
    </w:p>
    <w:p w:rsidR="009F1B2D" w:rsidRDefault="009F1B2D" w:rsidP="00CB60F3">
      <w:pPr>
        <w:pStyle w:val="a3"/>
        <w:jc w:val="both"/>
        <w:rPr>
          <w:rFonts w:ascii="Times New Roman" w:hAnsi="Times New Roman" w:cs="Times New Roman"/>
          <w:sz w:val="24"/>
          <w:szCs w:val="24"/>
        </w:rPr>
      </w:pPr>
    </w:p>
    <w:sectPr w:rsidR="009F1B2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4F" w:rsidRDefault="00C3504F" w:rsidP="0029668F">
      <w:pPr>
        <w:spacing w:after="0" w:line="240" w:lineRule="auto"/>
      </w:pPr>
      <w:r>
        <w:separator/>
      </w:r>
    </w:p>
  </w:endnote>
  <w:endnote w:type="continuationSeparator" w:id="0">
    <w:p w:rsidR="00C3504F" w:rsidRDefault="00C3504F" w:rsidP="0029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4F" w:rsidRDefault="00C3504F" w:rsidP="0029668F">
      <w:pPr>
        <w:spacing w:after="0" w:line="240" w:lineRule="auto"/>
      </w:pPr>
      <w:r>
        <w:separator/>
      </w:r>
    </w:p>
  </w:footnote>
  <w:footnote w:type="continuationSeparator" w:id="0">
    <w:p w:rsidR="00C3504F" w:rsidRDefault="00C3504F" w:rsidP="00296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31782"/>
      <w:docPartObj>
        <w:docPartGallery w:val="Page Numbers (Top of Page)"/>
        <w:docPartUnique/>
      </w:docPartObj>
    </w:sdtPr>
    <w:sdtEndPr>
      <w:rPr>
        <w:rFonts w:ascii="Times New Roman" w:hAnsi="Times New Roman" w:cs="Times New Roman"/>
      </w:rPr>
    </w:sdtEndPr>
    <w:sdtContent>
      <w:p w:rsidR="0029668F" w:rsidRPr="0029668F" w:rsidRDefault="0029668F">
        <w:pPr>
          <w:pStyle w:val="a6"/>
          <w:jc w:val="center"/>
          <w:rPr>
            <w:rFonts w:ascii="Times New Roman" w:hAnsi="Times New Roman" w:cs="Times New Roman"/>
          </w:rPr>
        </w:pPr>
        <w:r w:rsidRPr="0029668F">
          <w:rPr>
            <w:rFonts w:ascii="Times New Roman" w:hAnsi="Times New Roman" w:cs="Times New Roman"/>
          </w:rPr>
          <w:fldChar w:fldCharType="begin"/>
        </w:r>
        <w:r w:rsidRPr="0029668F">
          <w:rPr>
            <w:rFonts w:ascii="Times New Roman" w:hAnsi="Times New Roman" w:cs="Times New Roman"/>
          </w:rPr>
          <w:instrText>PAGE   \* MERGEFORMAT</w:instrText>
        </w:r>
        <w:r w:rsidRPr="0029668F">
          <w:rPr>
            <w:rFonts w:ascii="Times New Roman" w:hAnsi="Times New Roman" w:cs="Times New Roman"/>
          </w:rPr>
          <w:fldChar w:fldCharType="separate"/>
        </w:r>
        <w:r w:rsidR="00A50508">
          <w:rPr>
            <w:rFonts w:ascii="Times New Roman" w:hAnsi="Times New Roman" w:cs="Times New Roman"/>
            <w:noProof/>
          </w:rPr>
          <w:t>1</w:t>
        </w:r>
        <w:r w:rsidRPr="0029668F">
          <w:rPr>
            <w:rFonts w:ascii="Times New Roman" w:hAnsi="Times New Roman" w:cs="Times New Roman"/>
          </w:rPr>
          <w:fldChar w:fldCharType="end"/>
        </w:r>
      </w:p>
    </w:sdtContent>
  </w:sdt>
  <w:p w:rsidR="0029668F" w:rsidRDefault="002966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CC"/>
    <w:rsid w:val="000E1D2D"/>
    <w:rsid w:val="00241B8A"/>
    <w:rsid w:val="0029668F"/>
    <w:rsid w:val="003B14FC"/>
    <w:rsid w:val="004201A6"/>
    <w:rsid w:val="004647B6"/>
    <w:rsid w:val="004935CC"/>
    <w:rsid w:val="00635F9D"/>
    <w:rsid w:val="00656F11"/>
    <w:rsid w:val="00996BB7"/>
    <w:rsid w:val="009F1B2D"/>
    <w:rsid w:val="00A50508"/>
    <w:rsid w:val="00A943DC"/>
    <w:rsid w:val="00B16F10"/>
    <w:rsid w:val="00C3504F"/>
    <w:rsid w:val="00CB60F3"/>
    <w:rsid w:val="00F4764E"/>
    <w:rsid w:val="00F9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79DF5-3E0F-4836-AB01-025B2FF2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F10"/>
    <w:pPr>
      <w:spacing w:after="0" w:line="240" w:lineRule="auto"/>
    </w:pPr>
  </w:style>
  <w:style w:type="table" w:styleId="a4">
    <w:name w:val="Table Grid"/>
    <w:basedOn w:val="a1"/>
    <w:uiPriority w:val="39"/>
    <w:rsid w:val="00B1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16F10"/>
    <w:rPr>
      <w:color w:val="0563C1" w:themeColor="hyperlink"/>
      <w:u w:val="single"/>
    </w:rPr>
  </w:style>
  <w:style w:type="paragraph" w:styleId="a6">
    <w:name w:val="header"/>
    <w:basedOn w:val="a"/>
    <w:link w:val="a7"/>
    <w:uiPriority w:val="99"/>
    <w:unhideWhenUsed/>
    <w:rsid w:val="002966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68F"/>
  </w:style>
  <w:style w:type="paragraph" w:styleId="a8">
    <w:name w:val="footer"/>
    <w:basedOn w:val="a"/>
    <w:link w:val="a9"/>
    <w:uiPriority w:val="99"/>
    <w:unhideWhenUsed/>
    <w:rsid w:val="002966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7935">
      <w:bodyDiv w:val="1"/>
      <w:marLeft w:val="0"/>
      <w:marRight w:val="0"/>
      <w:marTop w:val="0"/>
      <w:marBottom w:val="0"/>
      <w:divBdr>
        <w:top w:val="none" w:sz="0" w:space="0" w:color="auto"/>
        <w:left w:val="none" w:sz="0" w:space="0" w:color="auto"/>
        <w:bottom w:val="none" w:sz="0" w:space="0" w:color="auto"/>
        <w:right w:val="none" w:sz="0" w:space="0" w:color="auto"/>
      </w:divBdr>
    </w:div>
    <w:div w:id="10864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ek.hse.r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Dark</dc:creator>
  <cp:keywords/>
  <dc:description/>
  <cp:lastModifiedBy>ДНС</cp:lastModifiedBy>
  <cp:revision>14</cp:revision>
  <cp:lastPrinted>2020-11-12T21:50:00Z</cp:lastPrinted>
  <dcterms:created xsi:type="dcterms:W3CDTF">2020-11-12T20:50:00Z</dcterms:created>
  <dcterms:modified xsi:type="dcterms:W3CDTF">2020-11-26T14:22:00Z</dcterms:modified>
</cp:coreProperties>
</file>