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BE" w:rsidRPr="00A63BBE" w:rsidRDefault="00A63BBE" w:rsidP="00A63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BBE">
        <w:rPr>
          <w:rFonts w:ascii="Times New Roman" w:hAnsi="Times New Roman" w:cs="Times New Roman"/>
          <w:b/>
          <w:sz w:val="28"/>
          <w:szCs w:val="28"/>
        </w:rPr>
        <w:t xml:space="preserve">Конституционно-правовое регулирование прав и свобод личности в </w:t>
      </w:r>
    </w:p>
    <w:p w:rsidR="00A63BBE" w:rsidRPr="00A63BBE" w:rsidRDefault="00A63BBE" w:rsidP="00A63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BB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63BBE" w:rsidRPr="00A63BBE" w:rsidRDefault="00A63BBE" w:rsidP="00A63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BE">
        <w:rPr>
          <w:rFonts w:ascii="Times New Roman" w:hAnsi="Times New Roman" w:cs="Times New Roman"/>
          <w:sz w:val="28"/>
          <w:szCs w:val="28"/>
        </w:rPr>
        <w:t>В настоящее время невозможно представить ни одну сферу жизнедеятельности, которые оказывают большое влияние правовую сферу жизни общества. Представители юридической науки обращают внимание на пробелы регулирования областей права, подвергшихся цифровизации. В действующем законодательстве отсутствует, нормативно закрепленное понятие «цифровизация», при этом в правовой науке и средствах массовой информации достаточно широко используется термин «цифровые права», который включает право людей на создание и использование цифровых произведений и на доступ к компьютерам и коммуникационным сетям.</w:t>
      </w:r>
    </w:p>
    <w:p w:rsidR="00A63BBE" w:rsidRPr="00A63BBE" w:rsidRDefault="00A63BBE" w:rsidP="00A63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BE">
        <w:rPr>
          <w:rFonts w:ascii="Times New Roman" w:hAnsi="Times New Roman" w:cs="Times New Roman"/>
          <w:sz w:val="28"/>
          <w:szCs w:val="28"/>
        </w:rPr>
        <w:t>Другими словами, цифровые права рассматриваются, прежде всего, как объекты гражданских прав, на что есть прямое указание в Федеральном законе «О внесении изменений в части первую, вторую и статью 1124 части третьей Гражданского кодекса Российской Федерации» (Федеральный закон № 34-ФЗ, 2019). Однако сферой гражданского права внедрение понятия «цифровые права» не ограничивается: предпринимаются попытки выделить категорию цифровых прав в иных отраслях российского права.</w:t>
      </w:r>
    </w:p>
    <w:p w:rsidR="00A63BBE" w:rsidRPr="00A63BBE" w:rsidRDefault="00A63BBE" w:rsidP="00A63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BE">
        <w:rPr>
          <w:rFonts w:ascii="Times New Roman" w:hAnsi="Times New Roman" w:cs="Times New Roman"/>
          <w:sz w:val="28"/>
          <w:szCs w:val="28"/>
        </w:rPr>
        <w:t>Ориентируясь на главу 2 Конституции Российской Федерации необходимым определить правовые отношения, наиболее подверженные в настоящее время процессам цифровизации и требующие правового регулирования.</w:t>
      </w:r>
    </w:p>
    <w:p w:rsidR="00A63BBE" w:rsidRPr="00A63BBE" w:rsidRDefault="00A63BBE" w:rsidP="00A63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BE">
        <w:rPr>
          <w:rFonts w:ascii="Times New Roman" w:hAnsi="Times New Roman" w:cs="Times New Roman"/>
          <w:sz w:val="28"/>
          <w:szCs w:val="28"/>
        </w:rPr>
        <w:t>В контексте конституционного права на неприкосновенность частной жизни, личной и семейной тайны, защиты своей чести и доброго имени, вопросы конфиденциальности занимают одно из ключевых мест.</w:t>
      </w:r>
    </w:p>
    <w:p w:rsidR="00A63BBE" w:rsidRPr="00A63BBE" w:rsidRDefault="00A63BBE" w:rsidP="00A63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BE">
        <w:rPr>
          <w:rFonts w:ascii="Times New Roman" w:hAnsi="Times New Roman" w:cs="Times New Roman"/>
          <w:sz w:val="28"/>
          <w:szCs w:val="28"/>
        </w:rPr>
        <w:t xml:space="preserve">Неприкосновенность личной жизни определяется как презумпция того, что частные лица должны иметь самостоятельное поле для последующего развития, взаимодействия и свободы, «частную сферу» во взаимодействии с другими лицами или без него, свободную от вмешательства государства и от </w:t>
      </w:r>
      <w:r w:rsidRPr="00A63BBE">
        <w:rPr>
          <w:rFonts w:ascii="Times New Roman" w:hAnsi="Times New Roman" w:cs="Times New Roman"/>
          <w:sz w:val="28"/>
          <w:szCs w:val="28"/>
        </w:rPr>
        <w:lastRenderedPageBreak/>
        <w:t xml:space="preserve">чрезмерного инициативного вмешательства со стороны других незваных частных. </w:t>
      </w:r>
    </w:p>
    <w:p w:rsidR="00A63BBE" w:rsidRPr="00A63BBE" w:rsidRDefault="00A63BBE" w:rsidP="00A63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BE">
        <w:rPr>
          <w:rFonts w:ascii="Times New Roman" w:hAnsi="Times New Roman" w:cs="Times New Roman"/>
          <w:sz w:val="28"/>
          <w:szCs w:val="28"/>
        </w:rPr>
        <w:t>Важно отметить, что само понятие частной (личной) жизни, особенно в цифровой век, охватывает огромное множество различных аспектов жизни человека. Концепция «частной жизни» является общим термином, не допускающим исчерпывающего определения, который включает, помимо прочего, информацию, относящуюся к данным о личности, таким как имя, фотографии, или физическая и психическая неприкосновенность... и, как правило, включает всю частную информацию лица, которая, как определено законодательством, не должна публиковаться без его разрешения.</w:t>
      </w:r>
    </w:p>
    <w:p w:rsidR="00A63BBE" w:rsidRPr="00A63BBE" w:rsidRDefault="00A63BBE" w:rsidP="00A63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BE">
        <w:rPr>
          <w:rFonts w:ascii="Times New Roman" w:hAnsi="Times New Roman" w:cs="Times New Roman"/>
          <w:sz w:val="28"/>
          <w:szCs w:val="28"/>
        </w:rPr>
        <w:t>Однако в современном мире с развитием информационных технологий угрозы и посягательства на неприкосновенность частной жизни только увеличиваются. В то время как правовые гарантии защиты данной сферы не коррелируют с требованиями дня. Анализируя Доклад Верховного комиссара ООН по правам человека от 03.08.2018 г., указанные посягательства можно разделить на следующие две группы: расширение использования личных данных правительствами и компаниями, а также государственное слежение и перехват сообщений.</w:t>
      </w:r>
    </w:p>
    <w:p w:rsidR="00A63BBE" w:rsidRPr="00A63BBE" w:rsidRDefault="00A63BBE" w:rsidP="00A63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BE">
        <w:rPr>
          <w:rFonts w:ascii="Times New Roman" w:hAnsi="Times New Roman" w:cs="Times New Roman"/>
          <w:sz w:val="28"/>
          <w:szCs w:val="28"/>
        </w:rPr>
        <w:t xml:space="preserve">В этой связи в национальном законодательстве необходимо как можно оперативнее разработать и принять эффективное, справедливое и соответствующее современным  реалиям правовое регулирование конституционного права на информацию и закрепить дополнительные гарантии неприкосновенности частной жизни в информационном пространстве и обществе с учетом общепризнанных принципов и норм международного права и международных договоров в сфере прав и свобод человека и гражданина, а также на основе имплементации норм международного права и позиций ЕСПЧ систематизировать нормы национального законодательства об охране и защите частной жизни, включая защиту конфиденциальности данных, с целью действенной защиты права на неприкосновенность частной жизни. Это создаст необходимые правовые </w:t>
      </w:r>
      <w:r w:rsidRPr="00A63BBE">
        <w:rPr>
          <w:rFonts w:ascii="Times New Roman" w:hAnsi="Times New Roman" w:cs="Times New Roman"/>
          <w:sz w:val="28"/>
          <w:szCs w:val="28"/>
        </w:rPr>
        <w:lastRenderedPageBreak/>
        <w:t>условия для гарантии реализации конституционного права на</w:t>
      </w:r>
      <w:r w:rsidRPr="00A63BBE">
        <w:t xml:space="preserve"> </w:t>
      </w:r>
      <w:r w:rsidRPr="00A63BBE">
        <w:rPr>
          <w:rFonts w:ascii="Times New Roman" w:hAnsi="Times New Roman" w:cs="Times New Roman"/>
          <w:sz w:val="28"/>
          <w:szCs w:val="28"/>
        </w:rPr>
        <w:t>неприкосновенность частной жизни, личной и семейной тайны, защиты своей чести и доброго имени.</w:t>
      </w:r>
    </w:p>
    <w:p w:rsidR="0071767E" w:rsidRPr="00A63BBE" w:rsidRDefault="0071767E" w:rsidP="00A63BBE">
      <w:bookmarkStart w:id="0" w:name="_GoBack"/>
      <w:bookmarkEnd w:id="0"/>
    </w:p>
    <w:sectPr w:rsidR="0071767E" w:rsidRPr="00A6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2D"/>
    <w:rsid w:val="0071767E"/>
    <w:rsid w:val="00A63BBE"/>
    <w:rsid w:val="00A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D3966-F0E9-4755-B971-7460E159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Nikta Lukianov</dc:creator>
  <cp:keywords/>
  <dc:description/>
  <cp:lastModifiedBy>Nikta Lukianov</cp:lastModifiedBy>
  <cp:revision>2</cp:revision>
  <dcterms:created xsi:type="dcterms:W3CDTF">2020-11-10T13:27:00Z</dcterms:created>
  <dcterms:modified xsi:type="dcterms:W3CDTF">2020-11-10T13:27:00Z</dcterms:modified>
</cp:coreProperties>
</file>