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C4" w:rsidRPr="00F00871" w:rsidRDefault="001767B7" w:rsidP="000C0723">
      <w:pPr>
        <w:spacing w:after="0" w:line="20" w:lineRule="atLeast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00871">
        <w:rPr>
          <w:rFonts w:ascii="Times New Roman" w:hAnsi="Times New Roman"/>
          <w:b/>
          <w:color w:val="0D0D0D"/>
          <w:sz w:val="24"/>
          <w:szCs w:val="24"/>
        </w:rPr>
        <w:t>Динамика экономического роста Российской Федерации в 2015-2019 годах</w:t>
      </w:r>
      <w:r w:rsidR="007F43C4" w:rsidRPr="00F00871">
        <w:rPr>
          <w:rFonts w:ascii="Times New Roman" w:hAnsi="Times New Roman"/>
          <w:b/>
          <w:color w:val="0D0D0D"/>
          <w:sz w:val="24"/>
          <w:szCs w:val="24"/>
        </w:rPr>
        <w:t xml:space="preserve"> на основе государственной и муниципальной статистики</w:t>
      </w:r>
      <w:r w:rsidR="00E34D2E" w:rsidRPr="00F0087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0C0723" w:rsidRPr="00F00871" w:rsidRDefault="000C0723" w:rsidP="000C0723">
      <w:pPr>
        <w:spacing w:after="0" w:line="20" w:lineRule="atLeast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F00871">
        <w:rPr>
          <w:rFonts w:ascii="Times New Roman" w:hAnsi="Times New Roman"/>
          <w:b/>
          <w:i/>
          <w:color w:val="0D0D0D"/>
          <w:sz w:val="24"/>
          <w:szCs w:val="24"/>
        </w:rPr>
        <w:t>Рахманина Анастасия Васильевна</w:t>
      </w:r>
    </w:p>
    <w:p w:rsidR="000C0723" w:rsidRPr="00B0140C" w:rsidRDefault="000C0723" w:rsidP="000C0723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B0140C">
        <w:rPr>
          <w:rFonts w:ascii="Times New Roman" w:hAnsi="Times New Roman"/>
          <w:color w:val="0D0D0D"/>
          <w:sz w:val="24"/>
          <w:szCs w:val="24"/>
        </w:rPr>
        <w:t>Студент</w:t>
      </w:r>
    </w:p>
    <w:p w:rsidR="000C0723" w:rsidRPr="00B0140C" w:rsidRDefault="000C0723" w:rsidP="000C0723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B0140C">
        <w:rPr>
          <w:rFonts w:ascii="Times New Roman" w:hAnsi="Times New Roman"/>
          <w:color w:val="0D0D0D"/>
          <w:sz w:val="24"/>
          <w:szCs w:val="24"/>
        </w:rPr>
        <w:t>Ульяновский гос</w:t>
      </w:r>
      <w:bookmarkStart w:id="0" w:name="_GoBack"/>
      <w:bookmarkEnd w:id="0"/>
      <w:r w:rsidRPr="00B0140C">
        <w:rPr>
          <w:rFonts w:ascii="Times New Roman" w:hAnsi="Times New Roman"/>
          <w:color w:val="0D0D0D"/>
          <w:sz w:val="24"/>
          <w:szCs w:val="24"/>
        </w:rPr>
        <w:t>ударственный университет,</w:t>
      </w:r>
    </w:p>
    <w:p w:rsidR="000C0723" w:rsidRPr="00B0140C" w:rsidRDefault="000C0723" w:rsidP="000C0723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B0140C">
        <w:rPr>
          <w:rFonts w:ascii="Times New Roman" w:hAnsi="Times New Roman"/>
          <w:color w:val="0D0D0D"/>
          <w:sz w:val="24"/>
          <w:szCs w:val="24"/>
        </w:rPr>
        <w:t>факультет управления, Ульяновск, Россия</w:t>
      </w:r>
    </w:p>
    <w:p w:rsidR="000C0723" w:rsidRPr="00B0140C" w:rsidRDefault="000C0723" w:rsidP="000C0723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0140C">
        <w:rPr>
          <w:rFonts w:ascii="Times New Roman" w:hAnsi="Times New Roman"/>
          <w:sz w:val="24"/>
          <w:szCs w:val="24"/>
        </w:rPr>
        <w:t>E-</w:t>
      </w:r>
      <w:proofErr w:type="spellStart"/>
      <w:r w:rsidRPr="00B0140C">
        <w:rPr>
          <w:rFonts w:ascii="Times New Roman" w:hAnsi="Times New Roman"/>
          <w:sz w:val="24"/>
          <w:szCs w:val="24"/>
        </w:rPr>
        <w:t>mail</w:t>
      </w:r>
      <w:proofErr w:type="spellEnd"/>
      <w:r w:rsidRPr="00B014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0140C">
        <w:rPr>
          <w:rFonts w:ascii="Times New Roman" w:hAnsi="Times New Roman"/>
          <w:sz w:val="24"/>
          <w:szCs w:val="24"/>
          <w:lang w:val="en-US"/>
        </w:rPr>
        <w:t>rachmanina</w:t>
      </w:r>
      <w:proofErr w:type="spellEnd"/>
      <w:r w:rsidRPr="00B0140C">
        <w:rPr>
          <w:rFonts w:ascii="Times New Roman" w:hAnsi="Times New Roman"/>
          <w:sz w:val="24"/>
          <w:szCs w:val="24"/>
        </w:rPr>
        <w:t>@</w:t>
      </w:r>
      <w:r w:rsidRPr="00B0140C">
        <w:rPr>
          <w:rFonts w:ascii="Times New Roman" w:hAnsi="Times New Roman"/>
          <w:sz w:val="24"/>
          <w:szCs w:val="24"/>
          <w:lang w:val="en-US"/>
        </w:rPr>
        <w:t>list</w:t>
      </w:r>
      <w:r w:rsidRPr="00B0140C">
        <w:rPr>
          <w:rFonts w:ascii="Times New Roman" w:hAnsi="Times New Roman"/>
          <w:sz w:val="24"/>
          <w:szCs w:val="24"/>
        </w:rPr>
        <w:t>.</w:t>
      </w:r>
      <w:proofErr w:type="spellStart"/>
      <w:r w:rsidRPr="00B014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2789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Лапин Анатолий Евгеньевич</w:t>
      </w:r>
    </w:p>
    <w:p w:rsidR="00A52789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доктор экономических наук,</w:t>
      </w:r>
    </w:p>
    <w:p w:rsidR="00A52789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заведующий кафедрой экономического анализа и государственного управления</w:t>
      </w:r>
    </w:p>
    <w:p w:rsidR="00A52789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Ульяновский государственный университет,</w:t>
      </w:r>
    </w:p>
    <w:p w:rsidR="00A52789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факультет управления, Ульяновск, Россия</w:t>
      </w:r>
    </w:p>
    <w:p w:rsidR="000C0723" w:rsidRPr="00A52789" w:rsidRDefault="00A52789" w:rsidP="00A52789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A52789">
        <w:rPr>
          <w:rFonts w:ascii="Times New Roman" w:hAnsi="Times New Roman"/>
          <w:color w:val="0D0D0D"/>
          <w:sz w:val="24"/>
          <w:szCs w:val="24"/>
        </w:rPr>
        <w:t>E–</w:t>
      </w:r>
      <w:proofErr w:type="spellStart"/>
      <w:r w:rsidRPr="00A52789">
        <w:rPr>
          <w:rFonts w:ascii="Times New Roman" w:hAnsi="Times New Roman"/>
          <w:color w:val="0D0D0D"/>
          <w:sz w:val="24"/>
          <w:szCs w:val="24"/>
        </w:rPr>
        <w:t>mail</w:t>
      </w:r>
      <w:proofErr w:type="spellEnd"/>
      <w:r w:rsidRPr="00A52789">
        <w:rPr>
          <w:rFonts w:ascii="Times New Roman" w:hAnsi="Times New Roman"/>
          <w:color w:val="0D0D0D"/>
          <w:sz w:val="24"/>
          <w:szCs w:val="24"/>
        </w:rPr>
        <w:t xml:space="preserve">: </w:t>
      </w:r>
      <w:hyperlink r:id="rId6" w:history="1">
        <w:r w:rsidRPr="00A5278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artcat2017@mail.ru</w:t>
        </w:r>
      </w:hyperlink>
    </w:p>
    <w:p w:rsidR="00A52789" w:rsidRPr="00B0140C" w:rsidRDefault="00A52789" w:rsidP="00A52789">
      <w:pPr>
        <w:spacing w:after="0" w:line="20" w:lineRule="atLeast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057DF8" w:rsidRPr="00B0140C" w:rsidRDefault="00057DF8" w:rsidP="00057DF8">
      <w:pPr>
        <w:spacing w:after="0" w:line="20" w:lineRule="atLeast"/>
        <w:ind w:firstLine="397"/>
        <w:jc w:val="both"/>
        <w:rPr>
          <w:rFonts w:ascii="Times New Roman" w:hAnsi="Times New Roman"/>
          <w:sz w:val="24"/>
          <w:szCs w:val="24"/>
        </w:rPr>
      </w:pPr>
      <w:r w:rsidRPr="00B0140C">
        <w:rPr>
          <w:rFonts w:ascii="Times New Roman" w:hAnsi="Times New Roman"/>
          <w:sz w:val="24"/>
          <w:szCs w:val="24"/>
        </w:rPr>
        <w:t>Основная задача</w:t>
      </w:r>
      <w:r w:rsidR="00347D95" w:rsidRPr="00B0140C">
        <w:rPr>
          <w:rFonts w:ascii="Times New Roman" w:hAnsi="Times New Roman"/>
          <w:sz w:val="24"/>
          <w:szCs w:val="24"/>
        </w:rPr>
        <w:t xml:space="preserve"> государственной и муниципальной</w:t>
      </w:r>
      <w:r w:rsidRPr="00B0140C">
        <w:rPr>
          <w:rFonts w:ascii="Times New Roman" w:hAnsi="Times New Roman"/>
          <w:sz w:val="24"/>
          <w:szCs w:val="24"/>
        </w:rPr>
        <w:t xml:space="preserve"> статистики состоит в определении и анализе системы статистических показателей, которые характеризуют </w:t>
      </w:r>
      <w:r w:rsidR="00347D95" w:rsidRPr="00B0140C">
        <w:rPr>
          <w:rFonts w:ascii="Times New Roman" w:hAnsi="Times New Roman"/>
          <w:sz w:val="24"/>
          <w:szCs w:val="24"/>
        </w:rPr>
        <w:t>социально-экономическое положение Российской Федерации, её субъектов и муниципальных образований.</w:t>
      </w:r>
    </w:p>
    <w:p w:rsidR="00D24A46" w:rsidRPr="00B0140C" w:rsidRDefault="00347D95" w:rsidP="00D24A46">
      <w:pPr>
        <w:spacing w:after="0" w:line="20" w:lineRule="atLeast"/>
        <w:ind w:firstLine="397"/>
        <w:jc w:val="both"/>
        <w:rPr>
          <w:rFonts w:ascii="Times New Roman" w:hAnsi="Times New Roman"/>
          <w:sz w:val="24"/>
          <w:szCs w:val="24"/>
        </w:rPr>
      </w:pPr>
      <w:r w:rsidRPr="00B0140C">
        <w:rPr>
          <w:rFonts w:ascii="Times New Roman" w:hAnsi="Times New Roman"/>
          <w:color w:val="0D0D0D"/>
          <w:sz w:val="24"/>
          <w:szCs w:val="24"/>
        </w:rPr>
        <w:t xml:space="preserve">Прежде всего, необходимо рассмотреть </w:t>
      </w:r>
      <w:r w:rsidRPr="00B0140C">
        <w:rPr>
          <w:rFonts w:ascii="Times New Roman" w:hAnsi="Times New Roman"/>
          <w:sz w:val="24"/>
          <w:szCs w:val="24"/>
        </w:rPr>
        <w:t xml:space="preserve">динамику и структуру доходов консолидированного бюджета и бюджетов государственных внебюджетных фондов Российской Федерации. Консолидированные бюджеты используются, как правило, в аналитических целях для разработки бюджетной политики, они не утверждаются законодательно [1, с. 22]. </w:t>
      </w:r>
    </w:p>
    <w:p w:rsidR="007F43C4" w:rsidRPr="00B0140C" w:rsidRDefault="00D24A46" w:rsidP="00D24A46">
      <w:pPr>
        <w:spacing w:after="0" w:line="20" w:lineRule="atLeast"/>
        <w:ind w:firstLine="39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140C">
        <w:rPr>
          <w:rFonts w:ascii="Times New Roman" w:hAnsi="Times New Roman"/>
          <w:sz w:val="24"/>
          <w:szCs w:val="24"/>
        </w:rPr>
        <w:t>В</w:t>
      </w:r>
      <w:r w:rsidR="007F43C4" w:rsidRPr="00B0140C">
        <w:rPr>
          <w:rFonts w:ascii="Times New Roman" w:hAnsi="Times New Roman"/>
          <w:bCs/>
          <w:kern w:val="36"/>
          <w:sz w:val="24"/>
          <w:szCs w:val="24"/>
        </w:rPr>
        <w:t xml:space="preserve">оспользуемся данными, взятыми на официальном сайте Министерства финансов </w:t>
      </w:r>
      <w:r w:rsidR="007F43C4" w:rsidRPr="00B0140C">
        <w:rPr>
          <w:rFonts w:ascii="Times New Roman" w:hAnsi="Times New Roman"/>
          <w:bCs/>
          <w:color w:val="0D0D0D" w:themeColor="text1" w:themeTint="F2"/>
          <w:kern w:val="36"/>
          <w:sz w:val="24"/>
          <w:szCs w:val="24"/>
        </w:rPr>
        <w:t>Российской Федерации, а именно на основе</w:t>
      </w:r>
      <w:r w:rsidRPr="00B014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данных документа от 13.10.2020 [2</w:t>
      </w:r>
      <w:r w:rsidR="007F43C4" w:rsidRPr="00B014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], содержащего ежегодную информацию об исполнении </w:t>
      </w:r>
      <w:r w:rsidR="007F43C4" w:rsidRPr="00B0140C">
        <w:rPr>
          <w:rFonts w:ascii="Times New Roman" w:hAnsi="Times New Roman"/>
          <w:bCs/>
          <w:color w:val="0D0D0D" w:themeColor="text1" w:themeTint="F2"/>
          <w:kern w:val="36"/>
          <w:sz w:val="24"/>
          <w:szCs w:val="24"/>
        </w:rPr>
        <w:t>консолидированного бюджета Российской Федерации, построим таблицу (Приложение 1).</w:t>
      </w:r>
      <w:r w:rsidR="007F43C4" w:rsidRPr="00B0140C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</w:t>
      </w:r>
      <w:r w:rsidR="007F43C4" w:rsidRPr="00B0140C">
        <w:rPr>
          <w:rFonts w:ascii="Times New Roman" w:hAnsi="Times New Roman"/>
          <w:bCs/>
          <w:color w:val="0D0D0D" w:themeColor="text1" w:themeTint="F2"/>
          <w:kern w:val="36"/>
          <w:sz w:val="24"/>
          <w:szCs w:val="24"/>
        </w:rPr>
        <w:t xml:space="preserve">Из этой таблицы, мы видим, что в </w:t>
      </w:r>
      <w:r w:rsidRPr="00B0140C">
        <w:rPr>
          <w:rFonts w:ascii="Times New Roman" w:hAnsi="Times New Roman"/>
          <w:bCs/>
          <w:color w:val="0D0D0D" w:themeColor="text1" w:themeTint="F2"/>
          <w:kern w:val="36"/>
          <w:sz w:val="24"/>
          <w:szCs w:val="24"/>
        </w:rPr>
        <w:t>реальном выражении доходы с 2015 до 2019</w:t>
      </w:r>
      <w:r w:rsidR="007F43C4" w:rsidRPr="00B0140C">
        <w:rPr>
          <w:rFonts w:ascii="Times New Roman" w:hAnsi="Times New Roman"/>
          <w:bCs/>
          <w:color w:val="0D0D0D" w:themeColor="text1" w:themeTint="F2"/>
          <w:kern w:val="36"/>
          <w:sz w:val="24"/>
          <w:szCs w:val="24"/>
        </w:rPr>
        <w:t xml:space="preserve"> года увеличились на </w:t>
      </w:r>
      <w:r w:rsidRPr="00B0140C">
        <w:rPr>
          <w:rFonts w:ascii="Times New Roman" w:hAnsi="Times New Roman"/>
          <w:bCs/>
          <w:color w:val="0D0D0D" w:themeColor="text1" w:themeTint="F2"/>
          <w:sz w:val="24"/>
          <w:szCs w:val="24"/>
        </w:rPr>
        <w:t>46,7</w:t>
      </w:r>
      <w:r w:rsidR="007F43C4" w:rsidRPr="00B0140C">
        <w:rPr>
          <w:rFonts w:ascii="Times New Roman" w:hAnsi="Times New Roman"/>
          <w:bCs/>
          <w:color w:val="0D0D0D" w:themeColor="text1" w:themeTint="F2"/>
          <w:sz w:val="24"/>
          <w:szCs w:val="24"/>
        </w:rPr>
        <w:t>%.</w:t>
      </w:r>
    </w:p>
    <w:p w:rsidR="007F43C4" w:rsidRPr="00B0140C" w:rsidRDefault="007F43C4" w:rsidP="00057DF8">
      <w:pPr>
        <w:pStyle w:val="p-header-title"/>
        <w:spacing w:before="0" w:beforeAutospacing="0" w:after="0" w:afterAutospacing="0" w:line="20" w:lineRule="atLeast"/>
        <w:ind w:firstLine="397"/>
        <w:jc w:val="both"/>
        <w:rPr>
          <w:bCs/>
          <w:color w:val="000000" w:themeColor="text1"/>
        </w:rPr>
      </w:pPr>
      <w:r w:rsidRPr="00B0140C">
        <w:rPr>
          <w:bCs/>
          <w:color w:val="0D0D0D" w:themeColor="text1" w:themeTint="F2"/>
        </w:rPr>
        <w:t>Структура доходов консолидированного бюджета и бюджетов государственных внебюджетных фо</w:t>
      </w:r>
      <w:r w:rsidR="00D24A46" w:rsidRPr="00B0140C">
        <w:rPr>
          <w:bCs/>
          <w:color w:val="0D0D0D" w:themeColor="text1" w:themeTint="F2"/>
        </w:rPr>
        <w:t>ндов Российской Федерации в 2019 году сравнении с 2015</w:t>
      </w:r>
      <w:r w:rsidRPr="00B0140C">
        <w:rPr>
          <w:bCs/>
          <w:color w:val="0D0D0D" w:themeColor="text1" w:themeTint="F2"/>
        </w:rPr>
        <w:t xml:space="preserve"> годом не сильно изменилась, если рассматривать доли нефтегазовых и </w:t>
      </w:r>
      <w:proofErr w:type="spellStart"/>
      <w:r w:rsidRPr="00B0140C">
        <w:rPr>
          <w:bCs/>
          <w:color w:val="0D0D0D" w:themeColor="text1" w:themeTint="F2"/>
        </w:rPr>
        <w:t>ненефтегазовых</w:t>
      </w:r>
      <w:proofErr w:type="spellEnd"/>
      <w:r w:rsidRPr="00B0140C">
        <w:rPr>
          <w:bCs/>
          <w:color w:val="0D0D0D" w:themeColor="text1" w:themeTint="F2"/>
        </w:rPr>
        <w:t xml:space="preserve"> доходов в процентном соотношении относительно общих доходов </w:t>
      </w:r>
      <w:r w:rsidRPr="00B0140C">
        <w:rPr>
          <w:bCs/>
          <w:color w:val="000000" w:themeColor="text1"/>
        </w:rPr>
        <w:t>консолидированного бюджета и внебюджетных фондов России. А реальном же выражении нефтегазовые д</w:t>
      </w:r>
      <w:r w:rsidR="00224071" w:rsidRPr="00B0140C">
        <w:rPr>
          <w:bCs/>
          <w:color w:val="000000" w:themeColor="text1"/>
        </w:rPr>
        <w:t>оходы увеличились на 35% (с 5862,7 млрд.руб. в 2015 году до 7924,3</w:t>
      </w:r>
      <w:r w:rsidRPr="00B0140C">
        <w:rPr>
          <w:bCs/>
          <w:color w:val="000000" w:themeColor="text1"/>
        </w:rPr>
        <w:t xml:space="preserve"> млрд.руб.</w:t>
      </w:r>
      <w:r w:rsidR="00224071" w:rsidRPr="00B0140C">
        <w:rPr>
          <w:bCs/>
          <w:color w:val="000000" w:themeColor="text1"/>
        </w:rPr>
        <w:t xml:space="preserve"> в 2019 году</w:t>
      </w:r>
      <w:r w:rsidRPr="00B0140C">
        <w:rPr>
          <w:bCs/>
          <w:color w:val="000000" w:themeColor="text1"/>
        </w:rPr>
        <w:t>). Наблюдается падение нефтегазовых доходов в 2016 году (4844 млрд. руб.),</w:t>
      </w:r>
      <w:r w:rsidR="00224071" w:rsidRPr="00B0140C">
        <w:rPr>
          <w:bCs/>
          <w:color w:val="000000" w:themeColor="text1"/>
        </w:rPr>
        <w:t xml:space="preserve"> на 17,38% по сравнению с 201</w:t>
      </w:r>
      <w:r w:rsidR="005600CC" w:rsidRPr="00B0140C">
        <w:rPr>
          <w:bCs/>
          <w:color w:val="000000" w:themeColor="text1"/>
        </w:rPr>
        <w:t>5 годом (5862,7</w:t>
      </w:r>
      <w:r w:rsidRPr="00B0140C">
        <w:rPr>
          <w:bCs/>
          <w:color w:val="000000" w:themeColor="text1"/>
        </w:rPr>
        <w:t xml:space="preserve"> млрд.руб.). </w:t>
      </w:r>
      <w:r w:rsidR="00F0041D" w:rsidRPr="00B0140C">
        <w:rPr>
          <w:bCs/>
          <w:color w:val="000000" w:themeColor="text1"/>
        </w:rPr>
        <w:t>В 2018 году наблюда</w:t>
      </w:r>
      <w:r w:rsidR="00BE2FF3" w:rsidRPr="00B0140C">
        <w:rPr>
          <w:bCs/>
          <w:color w:val="000000" w:themeColor="text1"/>
        </w:rPr>
        <w:t xml:space="preserve">ется рост нефтегазовых доходов. </w:t>
      </w:r>
      <w:r w:rsidRPr="00B0140C">
        <w:rPr>
          <w:bCs/>
          <w:color w:val="000000" w:themeColor="text1"/>
        </w:rPr>
        <w:t xml:space="preserve">Что касается </w:t>
      </w:r>
      <w:proofErr w:type="spellStart"/>
      <w:r w:rsidRPr="00B0140C">
        <w:rPr>
          <w:bCs/>
          <w:color w:val="000000" w:themeColor="text1"/>
        </w:rPr>
        <w:t>нене</w:t>
      </w:r>
      <w:r w:rsidR="00BE2FF3" w:rsidRPr="00B0140C">
        <w:rPr>
          <w:bCs/>
          <w:color w:val="000000" w:themeColor="text1"/>
        </w:rPr>
        <w:t>фтегазовых</w:t>
      </w:r>
      <w:proofErr w:type="spellEnd"/>
      <w:r w:rsidR="00BE2FF3" w:rsidRPr="00B0140C">
        <w:rPr>
          <w:bCs/>
          <w:color w:val="000000" w:themeColor="text1"/>
        </w:rPr>
        <w:t xml:space="preserve"> доходов, здесь в 2019 году (31573,3</w:t>
      </w:r>
      <w:r w:rsidRPr="00B0140C">
        <w:rPr>
          <w:bCs/>
          <w:color w:val="000000" w:themeColor="text1"/>
        </w:rPr>
        <w:t xml:space="preserve"> млрд.руб.) наблюдаются увеличен</w:t>
      </w:r>
      <w:r w:rsidR="00BE2FF3" w:rsidRPr="00B0140C">
        <w:rPr>
          <w:bCs/>
          <w:color w:val="000000" w:themeColor="text1"/>
        </w:rPr>
        <w:t>ие почти на 50% по сравнению с 2015</w:t>
      </w:r>
      <w:r w:rsidRPr="00B0140C">
        <w:rPr>
          <w:bCs/>
          <w:color w:val="000000" w:themeColor="text1"/>
        </w:rPr>
        <w:t xml:space="preserve"> год</w:t>
      </w:r>
      <w:r w:rsidR="00BE2FF3" w:rsidRPr="00B0140C">
        <w:rPr>
          <w:bCs/>
          <w:color w:val="000000" w:themeColor="text1"/>
        </w:rPr>
        <w:t>ом (21059,4 млрд. руб.).</w:t>
      </w:r>
    </w:p>
    <w:p w:rsidR="007F43C4" w:rsidRPr="00B0140C" w:rsidRDefault="007F43C4" w:rsidP="00057DF8">
      <w:pPr>
        <w:pStyle w:val="p-header-title"/>
        <w:spacing w:before="0" w:beforeAutospacing="0" w:after="0" w:afterAutospacing="0" w:line="20" w:lineRule="atLeast"/>
        <w:ind w:firstLine="397"/>
        <w:jc w:val="both"/>
        <w:rPr>
          <w:bCs/>
          <w:color w:val="000000" w:themeColor="text1"/>
        </w:rPr>
      </w:pPr>
      <w:r w:rsidRPr="00B0140C">
        <w:rPr>
          <w:noProof/>
          <w:color w:val="000000" w:themeColor="text1"/>
        </w:rPr>
        <w:t xml:space="preserve">Расходы </w:t>
      </w:r>
      <w:r w:rsidRPr="00B0140C">
        <w:rPr>
          <w:bCs/>
          <w:color w:val="000000" w:themeColor="text1"/>
        </w:rPr>
        <w:t>консолидированного бюджета и бюджетов государственных внебюджетных фо</w:t>
      </w:r>
      <w:r w:rsidR="00A23A3F" w:rsidRPr="00B0140C">
        <w:rPr>
          <w:bCs/>
          <w:color w:val="000000" w:themeColor="text1"/>
        </w:rPr>
        <w:t>ндов Российской Федерации с 2015</w:t>
      </w:r>
      <w:r w:rsidRPr="00B0140C">
        <w:rPr>
          <w:bCs/>
          <w:color w:val="000000" w:themeColor="text1"/>
        </w:rPr>
        <w:t xml:space="preserve"> года </w:t>
      </w:r>
      <w:r w:rsidR="00A23A3F" w:rsidRPr="00B0140C">
        <w:rPr>
          <w:bCs/>
          <w:color w:val="000000" w:themeColor="text1"/>
        </w:rPr>
        <w:t>постепенно увеличивались. В 2019</w:t>
      </w:r>
      <w:r w:rsidR="00BE2FF3" w:rsidRPr="00B0140C">
        <w:rPr>
          <w:bCs/>
          <w:color w:val="000000" w:themeColor="text1"/>
        </w:rPr>
        <w:t xml:space="preserve"> году расходы составили 37382,2</w:t>
      </w:r>
      <w:r w:rsidRPr="00B0140C">
        <w:rPr>
          <w:bCs/>
          <w:color w:val="000000" w:themeColor="text1"/>
        </w:rPr>
        <w:t xml:space="preserve"> </w:t>
      </w:r>
      <w:r w:rsidR="00BE2FF3" w:rsidRPr="00B0140C">
        <w:rPr>
          <w:bCs/>
          <w:color w:val="000000" w:themeColor="text1"/>
        </w:rPr>
        <w:t>млрд.руб., что является на 25,7% больше, чем в 2015 году (29741,5</w:t>
      </w:r>
      <w:r w:rsidRPr="00B0140C">
        <w:rPr>
          <w:bCs/>
          <w:color w:val="000000" w:themeColor="text1"/>
        </w:rPr>
        <w:t xml:space="preserve"> млрд. руб.). Можно сказать, что рост расходов в целом соответствует потребительской инфляции.</w:t>
      </w:r>
    </w:p>
    <w:p w:rsidR="007F43C4" w:rsidRPr="00B0140C" w:rsidRDefault="00A23A3F" w:rsidP="00057DF8">
      <w:pPr>
        <w:spacing w:after="0" w:line="20" w:lineRule="atLeast"/>
        <w:ind w:firstLine="39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сновной статьей расходов можно назвать социальную политику – это около 35% общей суммы расходов на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протяжении всего периода с 2015 до 2019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года. Национальная оборона также важная статья расходов консолидированного бюджета.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2016 году расходы по данной статье до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стигли 12,1% от общих расходов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после чего доля расходов по данной статье в общей сумме расходов стала резко сокращаться и к 2019 году составила около 8% от общей суммы расходов. 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Расходы на национальную экономику 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с в целом имеют тенденцию к увеличению: в 2015 году они составили 12,7% от общих расходов (3774,4 млрд.руб.)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, то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гда как в 2019 году 13,8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% от всех расходов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(5171,8 млрд.руб.)</w:t>
      </w:r>
      <w:r w:rsidR="007F43C4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Расходы консолидированного бюджета на ЖКХ 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также постепенно 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увеличиваются: в 2015 году они составили 3,3% от общих расходов (979,9 млрд.руб.), в 2019 году 4,2% (1574,9 млрд.руб.).</w:t>
      </w:r>
    </w:p>
    <w:p w:rsidR="007F43C4" w:rsidRPr="00B0140C" w:rsidRDefault="007F43C4" w:rsidP="00057DF8">
      <w:pPr>
        <w:spacing w:after="0" w:line="20" w:lineRule="atLeast"/>
        <w:ind w:firstLine="39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По определенным статьям расходов консолидированного бюджета наблюдаются в те</w:t>
      </w:r>
      <w:r w:rsidR="00BE2FF3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чение периода с 2015 по 2019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некоторые колебания, но в целом данные в процентном соот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ношении этих статей расходов к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общему объему расходов приблизительно равны (расходы на 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здравоохранение (1,4%), образование (0,9%), охрану окружающей среды (0,5%), обслуживание государственного и муниципального долга (0,5%), 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культуру и кинематографию (колебания в течении 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периода составляют около 0,3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%),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ф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изическую культуру и спорт (0,2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%), </w:t>
      </w:r>
      <w:r w:rsidR="000D6F19">
        <w:rPr>
          <w:rFonts w:ascii="Times New Roman" w:hAnsi="Times New Roman"/>
          <w:bCs/>
          <w:color w:val="000000" w:themeColor="text1"/>
          <w:sz w:val="24"/>
          <w:szCs w:val="24"/>
        </w:rPr>
        <w:t>СМИ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(практически без изменений)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F43C4" w:rsidRPr="00B0140C" w:rsidRDefault="007F43C4" w:rsidP="00057DF8">
      <w:pPr>
        <w:spacing w:after="0" w:line="20" w:lineRule="atLeast"/>
        <w:ind w:firstLine="397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0140C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Консолидированный бюджет Российской Фе</w:t>
      </w:r>
      <w:r w:rsidR="00C844C8" w:rsidRPr="00B0140C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дерации впервые за период с 2015 по 2019</w:t>
      </w:r>
      <w:r w:rsidRPr="00B0140C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год  исполнен с п</w:t>
      </w:r>
      <w:r w:rsidR="00C844C8" w:rsidRPr="00B0140C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рофицитом в 2018 году</w:t>
      </w:r>
      <w:r w:rsidRPr="00B0140C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2B7482" w:rsidRPr="00B0140C" w:rsidRDefault="007F43C4" w:rsidP="00B0140C">
      <w:pPr>
        <w:spacing w:after="0" w:line="20" w:lineRule="atLeast"/>
        <w:ind w:firstLine="39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Таким образом, мы рассмотрели динамику доходной и расходной части консолидированного бюджета Российской Федерации и бюджетов государственных внебюджетных фондов Российской</w:t>
      </w:r>
      <w:r w:rsidR="00057DF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Федерации в период с 2015 по 2018 годы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Самым тяжелым, в плане </w:t>
      </w:r>
      <w:r w:rsidR="00C844C8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наибольшего различия расходной и доходной частей консолидированного </w:t>
      </w:r>
      <w:r w:rsidR="009264EC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бюджета Российской Федерации в сторону превышения расходов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выдался 2016 год, но в 2018 году ситуация изменилась, и бюджеты были в этом году исполнены с профицитом.</w:t>
      </w:r>
    </w:p>
    <w:p w:rsidR="009264EC" w:rsidRPr="00B0140C" w:rsidRDefault="009264EC" w:rsidP="00057DF8">
      <w:pPr>
        <w:spacing w:after="0" w:line="20" w:lineRule="atLeast"/>
        <w:ind w:firstLine="397"/>
        <w:jc w:val="both"/>
        <w:rPr>
          <w:rFonts w:ascii="Times New Roman" w:hAnsi="Times New Roman"/>
          <w:sz w:val="24"/>
          <w:szCs w:val="24"/>
        </w:rPr>
      </w:pP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Одним из важн</w:t>
      </w:r>
      <w:r w:rsidR="002B7482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ейших показателей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развития страны</w:t>
      </w:r>
      <w:r w:rsidR="002B7482"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пределах макроэкономики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является объем валового внутреннего продукта, который </w:t>
      </w:r>
      <w:r w:rsidR="00626A17" w:rsidRPr="00B0140C">
        <w:rPr>
          <w:rFonts w:ascii="Times New Roman" w:hAnsi="Times New Roman"/>
          <w:bCs/>
          <w:color w:val="000000" w:themeColor="text1"/>
          <w:sz w:val="24"/>
          <w:szCs w:val="24"/>
        </w:rPr>
        <w:t>показывает,</w:t>
      </w: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сколько было произведено конечных товаров и услуг во всех отраслях экономики, предназначенных для потребления, экспорта и накопления вне зависимости от национальной принадлежности использованных факторов производства в определенный период в данной стране.</w:t>
      </w:r>
    </w:p>
    <w:p w:rsidR="00347D95" w:rsidRPr="00B0140C" w:rsidRDefault="001E0097" w:rsidP="000D6F19">
      <w:pPr>
        <w:pStyle w:val="p-header-title"/>
        <w:spacing w:before="0" w:beforeAutospacing="0" w:after="0" w:afterAutospacing="0" w:line="20" w:lineRule="atLeast"/>
        <w:ind w:firstLine="397"/>
        <w:jc w:val="both"/>
      </w:pPr>
      <w:r w:rsidRPr="00B0140C">
        <w:t xml:space="preserve">Объем ВВП Российской Федерации по оценке Росстата в 2019 году в текущих ценах составил: </w:t>
      </w:r>
      <w:r w:rsidRPr="00B0140C">
        <w:rPr>
          <w:bCs/>
        </w:rPr>
        <w:t>110046,1 млрд.руб.</w:t>
      </w:r>
      <w:r w:rsidRPr="00B0140C">
        <w:t>, а в 201</w:t>
      </w:r>
      <w:r w:rsidR="000D6F19">
        <w:t>5 он равнялся 83087,5 млрд.руб.</w:t>
      </w:r>
      <w:r w:rsidR="000D6F19" w:rsidRPr="00B0140C">
        <w:t>(Таблица 1</w:t>
      </w:r>
      <w:proofErr w:type="gramStart"/>
      <w:r w:rsidR="000D6F19" w:rsidRPr="00B0140C">
        <w:t>)</w:t>
      </w:r>
      <w:r w:rsidR="000D6F19">
        <w:t>.</w:t>
      </w:r>
      <w:r w:rsidRPr="00B0140C">
        <w:t>Доходы</w:t>
      </w:r>
      <w:proofErr w:type="gramEnd"/>
      <w:r w:rsidRPr="00B0140C">
        <w:t xml:space="preserve"> консолидированного бюджета в 2019 году составили 39497,6 млрд.руб. (35,9% ВВП). По сравнению с 2015 годом, где доходы консолидированного бюджета составили 26922 млрд.руб. (32,4% ВВП), мы видим, хоть и весьма небольшой, но тем не менее рост. </w:t>
      </w:r>
    </w:p>
    <w:p w:rsidR="001E0097" w:rsidRDefault="001E0097" w:rsidP="000D6F19">
      <w:pPr>
        <w:pStyle w:val="p-header-title"/>
        <w:spacing w:before="0" w:beforeAutospacing="0" w:after="0" w:afterAutospacing="0" w:line="20" w:lineRule="atLeast"/>
        <w:ind w:firstLine="397"/>
        <w:jc w:val="right"/>
      </w:pPr>
      <w:r w:rsidRPr="00B0140C">
        <w:t>Таблица 1</w:t>
      </w:r>
    </w:p>
    <w:p w:rsidR="000D6F19" w:rsidRPr="00B0140C" w:rsidRDefault="000D6F19" w:rsidP="000D6F19">
      <w:pPr>
        <w:pStyle w:val="p-header-title"/>
        <w:spacing w:before="0" w:beforeAutospacing="0" w:after="0" w:afterAutospacing="0" w:line="20" w:lineRule="atLeast"/>
        <w:ind w:firstLine="397"/>
        <w:jc w:val="center"/>
      </w:pPr>
      <w:r>
        <w:t>ВВП России по годам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1417"/>
      </w:tblGrid>
      <w:tr w:rsidR="001E0097" w:rsidRPr="00B0140C" w:rsidTr="000D6F19">
        <w:tc>
          <w:tcPr>
            <w:tcW w:w="212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Год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2015</w:t>
            </w:r>
          </w:p>
        </w:tc>
        <w:tc>
          <w:tcPr>
            <w:tcW w:w="1418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2016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2017</w:t>
            </w:r>
          </w:p>
        </w:tc>
        <w:tc>
          <w:tcPr>
            <w:tcW w:w="1418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2018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rPr>
                <w:b/>
                <w:bCs/>
              </w:rPr>
              <w:t>2019</w:t>
            </w:r>
          </w:p>
        </w:tc>
      </w:tr>
      <w:tr w:rsidR="001E0097" w:rsidRPr="00B0140C" w:rsidTr="000D6F19">
        <w:tc>
          <w:tcPr>
            <w:tcW w:w="212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ВВП (млрд. руб.)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83 087,4</w:t>
            </w:r>
          </w:p>
        </w:tc>
        <w:tc>
          <w:tcPr>
            <w:tcW w:w="1418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85 616,1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91 843,2</w:t>
            </w:r>
          </w:p>
        </w:tc>
        <w:tc>
          <w:tcPr>
            <w:tcW w:w="1418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104 629,6</w:t>
            </w:r>
          </w:p>
        </w:tc>
        <w:tc>
          <w:tcPr>
            <w:tcW w:w="1417" w:type="dxa"/>
          </w:tcPr>
          <w:p w:rsidR="001E0097" w:rsidRPr="00B0140C" w:rsidRDefault="001E0097" w:rsidP="001E0097">
            <w:pPr>
              <w:pStyle w:val="p-header-title"/>
              <w:spacing w:before="0" w:beforeAutospacing="0" w:after="0" w:afterAutospacing="0" w:line="20" w:lineRule="atLeast"/>
              <w:jc w:val="right"/>
            </w:pPr>
            <w:r w:rsidRPr="002B7482">
              <w:t>110 046,1</w:t>
            </w:r>
          </w:p>
        </w:tc>
      </w:tr>
    </w:tbl>
    <w:p w:rsidR="000D6F19" w:rsidRDefault="000D6F19" w:rsidP="000D6F19">
      <w:pPr>
        <w:spacing w:after="0" w:line="20" w:lineRule="atLeast"/>
        <w:ind w:firstLine="39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Источник: Росстат</w:t>
      </w:r>
    </w:p>
    <w:p w:rsidR="00B0140C" w:rsidRPr="00B0140C" w:rsidRDefault="0035689E" w:rsidP="000D6F19">
      <w:pPr>
        <w:spacing w:after="0" w:line="20" w:lineRule="atLeast"/>
        <w:ind w:firstLine="39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4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уточненным данным Росстата, ВВП России по итогам 2019 года вырос на 1,3%. Темпы прироста российской экономики замедлились по сравнению с 2018 годом, когда значение показателя достигло максимума с 2015 года (+2,5%). К основным факторам, которые способствовали сокращению темпов прироста ВВП в 2019 году, можно отнести ухудшение конъюнктуры мировой экономики и замедление мировой торговли, обусловленное конфликтом между США и Китаем. </w:t>
      </w:r>
    </w:p>
    <w:p w:rsidR="00B0140C" w:rsidRPr="00B0140C" w:rsidRDefault="00B0140C" w:rsidP="00B0140C">
      <w:pPr>
        <w:spacing w:after="0" w:line="20" w:lineRule="atLeast"/>
        <w:ind w:firstLine="397"/>
        <w:jc w:val="both"/>
        <w:rPr>
          <w:rFonts w:ascii="Times New Roman" w:hAnsi="Times New Roman"/>
          <w:sz w:val="24"/>
          <w:szCs w:val="24"/>
        </w:rPr>
      </w:pPr>
      <w:r w:rsidRPr="00B0140C">
        <w:rPr>
          <w:rFonts w:ascii="Times New Roman" w:hAnsi="Times New Roman"/>
          <w:sz w:val="24"/>
          <w:szCs w:val="24"/>
        </w:rPr>
        <w:t xml:space="preserve">Согласно данным Росстата, по итогам I квартала 2020 года темп прироста валового внутреннего продукта составил +1,6% в годовом выражении (после +2,1% кварталом ранее). В апреле 2020 года, по оценкам Минэкономразвития, ВВП России снизился на 12% в годовом выражении, что сопоставимо с показателями ведущих стран мира. По мнению экспертов, это обусловлено введением с 30 марта режима нерабочих дней на территории страны и сохранением негативной внешнеэкономической конъюнктуры. </w:t>
      </w:r>
    </w:p>
    <w:p w:rsidR="0035689E" w:rsidRPr="00AD5022" w:rsidRDefault="00B0140C" w:rsidP="00AD5022">
      <w:pPr>
        <w:spacing w:after="0" w:line="20" w:lineRule="atLeast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B0140C">
        <w:rPr>
          <w:rFonts w:ascii="Times New Roman" w:hAnsi="Times New Roman"/>
          <w:sz w:val="24"/>
          <w:szCs w:val="24"/>
        </w:rPr>
        <w:t xml:space="preserve">По оценкам большинства международных организаций, падение экономки России по итогам 2020 года составит от 3,3% до 7,0%. По оценкам большинства международных организаций, экономический рост в России восстановится к 2021 году. </w:t>
      </w:r>
      <w:r w:rsidR="00AD5022">
        <w:rPr>
          <w:rFonts w:ascii="Times New Roman" w:hAnsi="Times New Roman"/>
          <w:sz w:val="24"/>
          <w:szCs w:val="24"/>
          <w:lang w:val="en-US"/>
        </w:rPr>
        <w:t>[3</w:t>
      </w:r>
      <w:r w:rsidR="00AD5022">
        <w:rPr>
          <w:rFonts w:ascii="Times New Roman" w:hAnsi="Times New Roman"/>
          <w:sz w:val="24"/>
          <w:szCs w:val="24"/>
        </w:rPr>
        <w:t>, с.4-5</w:t>
      </w:r>
      <w:r w:rsidR="00AD5022">
        <w:rPr>
          <w:rFonts w:ascii="Times New Roman" w:hAnsi="Times New Roman"/>
          <w:sz w:val="24"/>
          <w:szCs w:val="24"/>
          <w:lang w:val="en-US"/>
        </w:rPr>
        <w:t>]</w:t>
      </w:r>
    </w:p>
    <w:p w:rsidR="0035689E" w:rsidRPr="00F00871" w:rsidRDefault="00B0140C" w:rsidP="00F00871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00871">
        <w:rPr>
          <w:rFonts w:ascii="Times New Roman" w:hAnsi="Times New Roman"/>
          <w:b/>
          <w:color w:val="0D0D0D"/>
          <w:sz w:val="24"/>
          <w:szCs w:val="24"/>
        </w:rPr>
        <w:t>Литература:</w:t>
      </w:r>
    </w:p>
    <w:p w:rsidR="00347D95" w:rsidRPr="00AD5022" w:rsidRDefault="00347D95" w:rsidP="00AD5022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color w:val="0D0D0D"/>
          <w:sz w:val="24"/>
          <w:szCs w:val="24"/>
        </w:rPr>
      </w:pPr>
      <w:r w:rsidRPr="00AD5022">
        <w:rPr>
          <w:rFonts w:ascii="Times New Roman" w:hAnsi="Times New Roman"/>
          <w:color w:val="0D0D0D"/>
          <w:sz w:val="24"/>
          <w:szCs w:val="24"/>
        </w:rPr>
        <w:lastRenderedPageBreak/>
        <w:t xml:space="preserve">Государственные и муниципальные финансы: учебное пособие для студентов экономических вузов/ И.Е. Дмитриева, Н.А. </w:t>
      </w:r>
      <w:proofErr w:type="spellStart"/>
      <w:r w:rsidRPr="00AD5022">
        <w:rPr>
          <w:rFonts w:ascii="Times New Roman" w:hAnsi="Times New Roman"/>
          <w:color w:val="0D0D0D"/>
          <w:sz w:val="24"/>
          <w:szCs w:val="24"/>
        </w:rPr>
        <w:t>Биндасова</w:t>
      </w:r>
      <w:proofErr w:type="spellEnd"/>
      <w:r w:rsidRPr="00AD5022">
        <w:rPr>
          <w:rFonts w:ascii="Times New Roman" w:hAnsi="Times New Roman"/>
          <w:color w:val="0D0D0D"/>
          <w:sz w:val="24"/>
          <w:szCs w:val="24"/>
        </w:rPr>
        <w:t>. - Саратов: Издательство «Вузовское образование», 2016. - (Высшее образование). - 154с.</w:t>
      </w:r>
    </w:p>
    <w:p w:rsidR="00AD5022" w:rsidRPr="00AD5022" w:rsidRDefault="00B0140C" w:rsidP="00AD5022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color w:val="0D0D0D"/>
          <w:sz w:val="24"/>
          <w:szCs w:val="24"/>
        </w:rPr>
      </w:pPr>
      <w:r w:rsidRPr="00AD5022">
        <w:rPr>
          <w:rFonts w:ascii="Times New Roman" w:hAnsi="Times New Roman"/>
          <w:color w:val="0D0D0D"/>
          <w:sz w:val="24"/>
          <w:szCs w:val="24"/>
        </w:rPr>
        <w:t>Документ от 13.10.2020 «</w:t>
      </w:r>
      <w:r w:rsidRPr="00AD5022">
        <w:rPr>
          <w:rFonts w:ascii="Times New Roman" w:hAnsi="Times New Roman"/>
          <w:bCs/>
          <w:color w:val="0D0D0D"/>
          <w:kern w:val="36"/>
          <w:sz w:val="24"/>
          <w:szCs w:val="24"/>
        </w:rPr>
        <w:t xml:space="preserve">Ежегодная информация об исполнении консолидированного бюджета Российской Федерации», взят с официального сайта Министерства Финансов Российской: </w:t>
      </w:r>
      <w:r w:rsidR="00AD5022" w:rsidRPr="00AD5022">
        <w:rPr>
          <w:rFonts w:ascii="Times New Roman" w:hAnsi="Times New Roman"/>
          <w:bCs/>
          <w:color w:val="0D0D0D"/>
          <w:kern w:val="36"/>
          <w:sz w:val="24"/>
          <w:szCs w:val="24"/>
        </w:rPr>
        <w:t>https://www.minfin.ru/ru/statistics/conbud/</w:t>
      </w:r>
    </w:p>
    <w:p w:rsidR="00B0140C" w:rsidRPr="00AD5022" w:rsidRDefault="00B0140C" w:rsidP="00AD5022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color w:val="0D0D0D"/>
          <w:sz w:val="24"/>
          <w:szCs w:val="24"/>
        </w:rPr>
      </w:pPr>
      <w:r w:rsidRPr="00AD5022">
        <w:rPr>
          <w:rFonts w:ascii="Times New Roman" w:hAnsi="Times New Roman"/>
          <w:sz w:val="24"/>
          <w:szCs w:val="24"/>
        </w:rPr>
        <w:t>Бюллетень о текущих тенденциях российской экономики «Динамика и структура ВВП России». Аналитический цент</w:t>
      </w:r>
      <w:r w:rsidR="00AD5022" w:rsidRPr="00AD5022">
        <w:rPr>
          <w:rFonts w:ascii="Times New Roman" w:hAnsi="Times New Roman"/>
          <w:sz w:val="24"/>
          <w:szCs w:val="24"/>
        </w:rPr>
        <w:t xml:space="preserve">р при Правительстве РФ. </w:t>
      </w:r>
      <w:r w:rsidRPr="00AD5022">
        <w:rPr>
          <w:rFonts w:ascii="Times New Roman" w:hAnsi="Times New Roman"/>
          <w:sz w:val="24"/>
          <w:szCs w:val="24"/>
        </w:rPr>
        <w:t xml:space="preserve">2020 </w:t>
      </w:r>
    </w:p>
    <w:sectPr w:rsidR="00B0140C" w:rsidRPr="00AD5022" w:rsidSect="007F43C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970"/>
    <w:multiLevelType w:val="hybridMultilevel"/>
    <w:tmpl w:val="3D78B3AC"/>
    <w:lvl w:ilvl="0" w:tplc="F8626C1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76EB3"/>
    <w:multiLevelType w:val="hybridMultilevel"/>
    <w:tmpl w:val="4B36AE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920063"/>
    <w:multiLevelType w:val="hybridMultilevel"/>
    <w:tmpl w:val="4D28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39B3"/>
    <w:multiLevelType w:val="hybridMultilevel"/>
    <w:tmpl w:val="BF804086"/>
    <w:lvl w:ilvl="0" w:tplc="BF6041E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C4"/>
    <w:rsid w:val="00006ABC"/>
    <w:rsid w:val="00057DF8"/>
    <w:rsid w:val="000C0723"/>
    <w:rsid w:val="000D6F19"/>
    <w:rsid w:val="001767B7"/>
    <w:rsid w:val="001B40CA"/>
    <w:rsid w:val="001E0097"/>
    <w:rsid w:val="00224071"/>
    <w:rsid w:val="002B7482"/>
    <w:rsid w:val="002E10A0"/>
    <w:rsid w:val="00347D95"/>
    <w:rsid w:val="0035689E"/>
    <w:rsid w:val="003F66F4"/>
    <w:rsid w:val="005600CC"/>
    <w:rsid w:val="00626A17"/>
    <w:rsid w:val="007F43C4"/>
    <w:rsid w:val="008E0A09"/>
    <w:rsid w:val="009264EC"/>
    <w:rsid w:val="00975564"/>
    <w:rsid w:val="00A23A3F"/>
    <w:rsid w:val="00A52789"/>
    <w:rsid w:val="00AD1239"/>
    <w:rsid w:val="00AD5022"/>
    <w:rsid w:val="00B0140C"/>
    <w:rsid w:val="00BE2FF3"/>
    <w:rsid w:val="00C844C8"/>
    <w:rsid w:val="00D24A46"/>
    <w:rsid w:val="00DA52EE"/>
    <w:rsid w:val="00E34D2E"/>
    <w:rsid w:val="00F0041D"/>
    <w:rsid w:val="00F00871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9209-1732-4D99-8652-2AB53AF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1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7F43C4"/>
    <w:rPr>
      <w:vertAlign w:val="superscript"/>
    </w:rPr>
  </w:style>
  <w:style w:type="character" w:customStyle="1" w:styleId="blk">
    <w:name w:val="blk"/>
    <w:basedOn w:val="a0"/>
    <w:rsid w:val="007F43C4"/>
  </w:style>
  <w:style w:type="character" w:customStyle="1" w:styleId="e24kjd">
    <w:name w:val="e24kjd"/>
    <w:basedOn w:val="a0"/>
    <w:rsid w:val="007F43C4"/>
  </w:style>
  <w:style w:type="paragraph" w:customStyle="1" w:styleId="p-header-title">
    <w:name w:val="p-header-title"/>
    <w:basedOn w:val="a"/>
    <w:rsid w:val="007F4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3C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4E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B7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B7482"/>
    <w:rPr>
      <w:i/>
      <w:iCs/>
    </w:rPr>
  </w:style>
  <w:style w:type="table" w:styleId="a9">
    <w:name w:val="Table Grid"/>
    <w:basedOn w:val="a1"/>
    <w:uiPriority w:val="59"/>
    <w:rsid w:val="001E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014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cat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2BBD-BE7C-42AC-ABC9-C8FE1ACB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 Rahmanina</dc:creator>
  <cp:keywords/>
  <dc:description/>
  <cp:lastModifiedBy>ДНС</cp:lastModifiedBy>
  <cp:revision>9</cp:revision>
  <dcterms:created xsi:type="dcterms:W3CDTF">2020-11-11T16:49:00Z</dcterms:created>
  <dcterms:modified xsi:type="dcterms:W3CDTF">2020-11-26T14:24:00Z</dcterms:modified>
</cp:coreProperties>
</file>