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Управление рисками в условиях цифровизации сферы государственных закупок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Васяева Анна Александровна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Студент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Чувашлова Марина Владимировна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доцент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декан факультета управления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Ульяновский государственный университет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бизнес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факультет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Ульяновск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Россия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E-mail: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anna.alex.vas@mail.ru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система государственных и муниципальных закупок претерпевает серьезные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обусловленные общей тенденцией в экономике — внедрением цифровых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Цифровизация в сфере госзакупок преследует конкретные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их числе повышение прозрачности закупочных процессов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учетом действующих положений 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 xml:space="preserve">05.04.2013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</w:rPr>
        <w:t xml:space="preserve"> 44-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информационного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географического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административного доступа участников закупок к их проведению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стимулирование добросовестной конкуренции среди потенциальных поставщиков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подрядчиков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цифровых технологий призвано сделать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контрактную систему более открытой для граждан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удобной для бизнеса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 эффективной и антикоррупционной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Функционирование системы государственных закупок сегодня немыслимо без определенной степени автоматизации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 данных посредством сети «Интернет»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информаци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 закупке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с планов закупки и заканчивая детальным описанием этапов выполнения заключенного государственного контракта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подлежит размещению в Единой информационной системе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Взаимодействие заказчиков и поставщиков осуществляется посредством электронных торговых площадок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января </w:t>
      </w:r>
      <w:r>
        <w:rPr>
          <w:rFonts w:ascii="Times New Roman" w:hAnsi="Times New Roman"/>
          <w:sz w:val="24"/>
          <w:szCs w:val="24"/>
          <w:rtl w:val="0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практически все виды закупок проводятся в электронном виде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претерпела за последнее время система госзакупок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способствуют реализации принципов информационной открытости и прозрачности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несмотря на существенные преобразования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заказчику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поставщику продолжают угрожать серьезные риски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Среди них можно отметить </w:t>
      </w:r>
      <w:r>
        <w:rPr>
          <w:rFonts w:ascii="Times New Roman" w:hAnsi="Times New Roman" w:hint="default"/>
          <w:sz w:val="24"/>
          <w:szCs w:val="24"/>
          <w:rtl w:val="0"/>
        </w:rPr>
        <w:t>неудовлетворение потребности заказчика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товарах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ограничение конкуренции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выбор недобросовестного поставщика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подрядчика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ненадлежащее исполнение контракта в результате занижения цены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 контракта по завышенной цене вследствие сговора поставщиков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административные разбирательства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[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данного исследования явилось выявление перспективных путей управления рисками в условиях цифровой трансформации сферы госзакупок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поставленной цели требует комплексного подхода и подразумевает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рисковых ситуаций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характерных для сферы госзакупок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оценку достижений в оптимизации функционирования данной системы посредством автоматизации и электронизации закупочных процедур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определение перспективных направлений цифровизации контрактной системы в контексте риск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ориентированного подхода к управлению госзакупками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цифровых технологий в госзакупках может решить некоторые трудности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на различных этапах закупочного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непростая задача определения начальной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максимальной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цены контракта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НМЦК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решена созданием системы автоматизированного расчета НМЦК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исключающей человеческий и коррупционный факторы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снижающей трудозатраты заказчика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Оптимизации процесса составления документации о закупке служит применение КТРУ — электронного каталога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стандартизирующего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описани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объектов закупки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Наглядным примером </w:t>
      </w:r>
      <w:r>
        <w:rPr>
          <w:rFonts w:ascii="Times New Roman" w:hAnsi="Times New Roman" w:hint="default"/>
          <w:sz w:val="24"/>
          <w:szCs w:val="24"/>
          <w:rtl w:val="0"/>
        </w:rPr>
        <w:t>цифровой трансформации сфер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 закупок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служит опыт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ифровизация столичных закупок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дала положительные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числе которых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сокращение времени подготовки процедур до </w:t>
      </w:r>
      <w:r>
        <w:rPr>
          <w:rFonts w:ascii="Times New Roman" w:hAnsi="Times New Roman"/>
          <w:sz w:val="24"/>
          <w:szCs w:val="24"/>
          <w:rtl w:val="0"/>
        </w:rPr>
        <w:t>80%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счет </w:t>
      </w:r>
      <w:r>
        <w:rPr>
          <w:rFonts w:ascii="Times New Roman" w:hAnsi="Times New Roman" w:hint="default"/>
          <w:sz w:val="24"/>
          <w:szCs w:val="24"/>
          <w:rtl w:val="0"/>
        </w:rPr>
        <w:t>автоматическо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формировани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типовой документации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сокращение трудозатрат заказчиков до </w:t>
      </w:r>
      <w:r>
        <w:rPr>
          <w:rFonts w:ascii="Times New Roman" w:hAnsi="Times New Roman"/>
          <w:sz w:val="24"/>
          <w:szCs w:val="24"/>
          <w:rtl w:val="0"/>
        </w:rPr>
        <w:t>40%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результате и</w:t>
      </w:r>
      <w:r>
        <w:rPr>
          <w:rFonts w:ascii="Times New Roman" w:hAnsi="Times New Roman" w:hint="default"/>
          <w:sz w:val="24"/>
          <w:szCs w:val="24"/>
          <w:rtl w:val="0"/>
        </w:rPr>
        <w:t>нтеграци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отраслевыми системами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достижение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гарантированн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обоснованност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цен за счет </w:t>
      </w:r>
      <w:r>
        <w:rPr>
          <w:rFonts w:ascii="Times New Roman" w:hAnsi="Times New Roman" w:hint="default"/>
          <w:sz w:val="24"/>
          <w:szCs w:val="24"/>
          <w:rtl w:val="0"/>
        </w:rPr>
        <w:t>автоматическ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расче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цен контрактов</w:t>
      </w:r>
      <w:r>
        <w:rPr>
          <w:rFonts w:ascii="Times New Roman" w:hAnsi="Times New Roman"/>
          <w:sz w:val="24"/>
          <w:szCs w:val="24"/>
          <w:rtl w:val="0"/>
        </w:rPr>
        <w:t>;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автомати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зация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исполнени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контрактов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условиях цифровой трансформации система государственных закупок претерпевает значительную электронизацию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автоматизацию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исследователей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лишь промежуточный этап на пути к умной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интеллектуальной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контрактной системе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ind w:firstLine="39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ind w:firstLine="39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Список литературы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</w:rPr>
        <w:t xml:space="preserve">05.04.2013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44-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ФЗ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31.07.2020) "</w:t>
      </w:r>
      <w:r>
        <w:rPr>
          <w:rFonts w:ascii="Times New Roman" w:hAnsi="Times New Roman" w:hint="default"/>
          <w:sz w:val="24"/>
          <w:szCs w:val="24"/>
          <w:rtl w:val="0"/>
        </w:rPr>
        <w:t>О контрактной системе в сфере закупок товаров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работ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  <w:rtl w:val="0"/>
        </w:rPr>
        <w:t>" (</w:t>
      </w:r>
      <w:r>
        <w:rPr>
          <w:rFonts w:ascii="Times New Roman" w:hAnsi="Times New Roman" w:hint="default"/>
          <w:sz w:val="24"/>
          <w:szCs w:val="24"/>
          <w:rtl w:val="0"/>
        </w:rPr>
        <w:t>с изм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доп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силу с </w:t>
      </w:r>
      <w:r>
        <w:rPr>
          <w:rFonts w:ascii="Times New Roman" w:hAnsi="Times New Roman"/>
          <w:sz w:val="24"/>
          <w:szCs w:val="24"/>
          <w:rtl w:val="0"/>
        </w:rPr>
        <w:t>01.09.2020)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СПС КонсультантПлюс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Дёгтев 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Цифровая трансформация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закупок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Москвы</w:t>
      </w:r>
      <w:r>
        <w:rPr>
          <w:rFonts w:ascii="Times New Roman" w:hAnsi="Times New Roman"/>
          <w:sz w:val="24"/>
          <w:szCs w:val="24"/>
          <w:rtl w:val="0"/>
        </w:rPr>
        <w:t xml:space="preserve"> 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Инновации и инвестиции</w:t>
      </w:r>
      <w:r>
        <w:rPr>
          <w:rFonts w:ascii="Times New Roman" w:hAnsi="Times New Roman"/>
          <w:sz w:val="24"/>
          <w:szCs w:val="24"/>
          <w:rtl w:val="0"/>
        </w:rPr>
        <w:t xml:space="preserve">. 2020. </w:t>
      </w:r>
      <w:r>
        <w:rPr>
          <w:rFonts w:ascii="Times New Roman" w:hAnsi="Times New Roman" w:hint="default"/>
          <w:sz w:val="24"/>
          <w:szCs w:val="24"/>
          <w:rtl w:val="0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226-229.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Жилкин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ктуальные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управления рисками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государственных закупках </w:t>
      </w:r>
      <w:r>
        <w:rPr>
          <w:rFonts w:ascii="Times New Roman" w:hAnsi="Times New Roman"/>
          <w:sz w:val="24"/>
          <w:szCs w:val="24"/>
          <w:rtl w:val="0"/>
          <w:lang w:val="en-US"/>
        </w:rPr>
        <w:t>//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Наука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XXI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века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397-400.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Каранатова 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Кулев 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Инновационное развитие контрактной системы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переход к умным закупкам </w:t>
      </w:r>
      <w:r>
        <w:rPr>
          <w:rFonts w:ascii="Times New Roman" w:hAnsi="Times New Roman"/>
          <w:sz w:val="24"/>
          <w:szCs w:val="24"/>
          <w:rtl w:val="0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Управленческое консультирование</w:t>
      </w:r>
      <w:r>
        <w:rPr>
          <w:rFonts w:ascii="Times New Roman" w:hAnsi="Times New Roman"/>
          <w:sz w:val="24"/>
          <w:szCs w:val="24"/>
          <w:rtl w:val="0"/>
        </w:rPr>
        <w:t xml:space="preserve">. 2020.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</w:rPr>
        <w:t xml:space="preserve"> 2.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 22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31. 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Картавых 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ориентированный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подход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контроля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 закупок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//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практический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теоретический журнал «Инновационное развитие экономики»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2019.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</w:rPr>
        <w:t xml:space="preserve"> 4 (52)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 52-60.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Малыхина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Некоторые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аспекты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цифровизации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муниципальных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закупок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услуг </w:t>
      </w:r>
      <w:r>
        <w:rPr>
          <w:rFonts w:ascii="Times New Roman" w:hAnsi="Times New Roman"/>
          <w:sz w:val="24"/>
          <w:szCs w:val="24"/>
          <w:rtl w:val="0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</w:rPr>
        <w:t>Вестник СГЮА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2020. </w:t>
      </w:r>
      <w:r>
        <w:rPr>
          <w:rFonts w:ascii="Times New Roman" w:hAnsi="Times New Roman" w:hint="default"/>
          <w:sz w:val="24"/>
          <w:szCs w:val="24"/>
          <w:rtl w:val="0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3 (134).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210-215.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Саяпина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Управление рисками государственных закупок и их характер </w:t>
      </w:r>
      <w:r>
        <w:rPr>
          <w:rFonts w:ascii="Times New Roman" w:hAnsi="Times New Roman"/>
          <w:sz w:val="24"/>
          <w:szCs w:val="24"/>
          <w:rtl w:val="0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Международный журнал гуманитарных и естественных наук</w:t>
      </w:r>
      <w:r>
        <w:rPr>
          <w:rFonts w:ascii="Times New Roman" w:hAnsi="Times New Roman"/>
          <w:sz w:val="24"/>
          <w:szCs w:val="24"/>
          <w:rtl w:val="0"/>
        </w:rPr>
        <w:t xml:space="preserve">. 2019. </w:t>
      </w:r>
      <w:r>
        <w:rPr>
          <w:rFonts w:ascii="Times New Roman" w:hAnsi="Times New Roman" w:hint="default"/>
          <w:sz w:val="24"/>
          <w:szCs w:val="24"/>
          <w:rtl w:val="0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6-2.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213-215.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Управление закупками и заказами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учеб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пособие 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Ревина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Борякин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Самара 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Изд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во Самар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</w:t>
      </w:r>
      <w:r>
        <w:rPr>
          <w:rFonts w:ascii="Times New Roman" w:hAnsi="Times New Roman"/>
          <w:sz w:val="24"/>
          <w:szCs w:val="24"/>
          <w:rtl w:val="0"/>
          <w:lang w:val="pt-PT"/>
        </w:rPr>
        <w:t>, 2019.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Шмелева 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Цифровые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муниципальных закупках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будущее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реальность</w:t>
      </w:r>
      <w:r>
        <w:rPr>
          <w:rFonts w:ascii="Times New Roman" w:hAnsi="Times New Roman"/>
          <w:sz w:val="24"/>
          <w:szCs w:val="24"/>
          <w:rtl w:val="0"/>
        </w:rPr>
        <w:t xml:space="preserve"> 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 проблемы российского права</w:t>
      </w:r>
      <w:r>
        <w:rPr>
          <w:rFonts w:ascii="Times New Roman" w:hAnsi="Times New Roman"/>
          <w:sz w:val="24"/>
          <w:szCs w:val="24"/>
          <w:rtl w:val="0"/>
        </w:rPr>
        <w:t xml:space="preserve">. 2019. </w:t>
      </w:r>
      <w:r>
        <w:rPr>
          <w:rFonts w:ascii="Times New Roman" w:hAnsi="Times New Roman" w:hint="default"/>
          <w:sz w:val="24"/>
          <w:szCs w:val="24"/>
          <w:rtl w:val="0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12 (109).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rtl w:val="0"/>
          <w:lang w:val="ru-RU"/>
        </w:rPr>
        <w:t>. 36-42.</w:t>
      </w:r>
    </w:p>
    <w:sectPr>
      <w:headerReference w:type="default" r:id="rId4"/>
      <w:footerReference w:type="default" r:id="rId5"/>
      <w:pgSz w:w="11906" w:h="16838" w:orient="portrait"/>
      <w:pgMar w:top="1134" w:right="1361" w:bottom="1134" w:left="136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790"/>
        </w:tabs>
        <w:ind w:left="39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50"/>
        </w:tabs>
        <w:ind w:left="75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510"/>
        </w:tabs>
        <w:ind w:left="111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870"/>
        </w:tabs>
        <w:ind w:left="147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230"/>
        </w:tabs>
        <w:ind w:left="183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590"/>
        </w:tabs>
        <w:ind w:left="219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950"/>
        </w:tabs>
        <w:ind w:left="255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310"/>
        </w:tabs>
        <w:ind w:left="291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670"/>
        </w:tabs>
        <w:ind w:left="3273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