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4056" w:rsidP="04CCF189" w:rsidRDefault="742CAB93" w14:paraId="501817AE" w14:textId="2423B39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b/>
          <w:bCs/>
          <w:sz w:val="24"/>
          <w:szCs w:val="24"/>
        </w:rPr>
        <w:t>Получение</w:t>
      </w:r>
      <w:r w:rsidRPr="0B593D3F" w:rsidR="0B593D3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и визуализация доставки в </w:t>
      </w:r>
      <w:r w:rsidRPr="742CAB93">
        <w:rPr>
          <w:rFonts w:ascii="Times New Roman" w:hAnsi="Times New Roman" w:eastAsia="Times New Roman" w:cs="Times New Roman"/>
          <w:b/>
          <w:bCs/>
          <w:sz w:val="24"/>
          <w:szCs w:val="24"/>
        </w:rPr>
        <w:t>костную ткань</w:t>
      </w:r>
      <w:r w:rsidRPr="0B593D3F" w:rsidR="0B593D3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контейнеров</w:t>
      </w:r>
      <w:r w:rsidRPr="742CAB93">
        <w:rPr>
          <w:rFonts w:ascii="Times New Roman" w:hAnsi="Times New Roman" w:eastAsia="Times New Roman" w:cs="Times New Roman"/>
          <w:b/>
          <w:bCs/>
          <w:sz w:val="24"/>
          <w:szCs w:val="24"/>
        </w:rPr>
        <w:t>,</w:t>
      </w:r>
      <w:r w:rsidRPr="0B593D3F" w:rsidR="0B593D3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содержащих </w:t>
      </w:r>
      <w:r w:rsidRPr="742CAB93">
        <w:rPr>
          <w:rFonts w:ascii="Times New Roman" w:hAnsi="Times New Roman" w:eastAsia="Times New Roman" w:cs="Times New Roman"/>
          <w:b/>
          <w:bCs/>
          <w:sz w:val="24"/>
          <w:szCs w:val="24"/>
        </w:rPr>
        <w:t>лекарственное вещество</w:t>
      </w:r>
    </w:p>
    <w:p w:rsidR="0B593D3F" w:rsidP="6D6CF1A4" w:rsidRDefault="0B593D3F" w14:paraId="6EF597F4" w14:textId="1A24658C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B593D3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Луенкова А.А.</w:t>
      </w:r>
      <w:r w:rsidRPr="0B593D3F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</w:p>
    <w:p w:rsidR="0B593D3F" w:rsidP="6D6CF1A4" w:rsidRDefault="0B593D3F" w14:paraId="27C03B06" w14:textId="6BAF9D31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B593D3F">
        <w:rPr>
          <w:rFonts w:ascii="Times New Roman" w:hAnsi="Times New Roman" w:eastAsia="Times New Roman" w:cs="Times New Roman"/>
          <w:i/>
          <w:iCs/>
          <w:sz w:val="24"/>
          <w:szCs w:val="24"/>
        </w:rPr>
        <w:t>Студентка, 2 курс специалитета</w:t>
      </w:r>
    </w:p>
    <w:p w:rsidR="0B593D3F" w:rsidP="6D6CF1A4" w:rsidRDefault="0B593D3F" w14:paraId="60A7EC91" w14:textId="55ABF623">
      <w:pPr>
        <w:spacing w:after="0" w:line="240" w:lineRule="auto"/>
        <w:jc w:val="center"/>
      </w:pPr>
      <w:r w:rsidRPr="0B593D3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Московский государственный университет имени М.В. Ломоносова, </w:t>
      </w:r>
    </w:p>
    <w:p w:rsidR="0B593D3F" w:rsidP="6D6CF1A4" w:rsidRDefault="0B593D3F" w14:paraId="09FDE18F" w14:textId="2FD1DA5E">
      <w:pPr>
        <w:spacing w:after="0" w:line="240" w:lineRule="auto"/>
        <w:jc w:val="center"/>
      </w:pPr>
      <w:r w:rsidRPr="0B593D3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химический факультет, Москва, Россия</w:t>
      </w:r>
    </w:p>
    <w:p w:rsidR="0B593D3F" w:rsidP="6D6CF1A4" w:rsidRDefault="0B593D3F" w14:paraId="28759128" w14:textId="2DF42049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B593D3F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E-mail: </w:t>
      </w:r>
      <w:hyperlink r:id="rId5">
        <w:r w:rsidRPr="0B593D3F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sovanarizz@yandex.ru</w:t>
        </w:r>
      </w:hyperlink>
    </w:p>
    <w:p w:rsidR="0B593D3F" w:rsidP="742CAB93" w:rsidRDefault="6D288FB6" w14:paraId="26F0F31F" w14:textId="03B8B2AC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D288FB6">
        <w:rPr>
          <w:rFonts w:ascii="Times New Roman" w:hAnsi="Times New Roman" w:eastAsia="Times New Roman" w:cs="Times New Roman"/>
          <w:sz w:val="24"/>
          <w:szCs w:val="24"/>
        </w:rPr>
        <w:t>Адресная доставка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 xml:space="preserve"> лекарственных веществ позволяет приблизиться к основной цели фармакотерапии: максимизации терапевтического эффекта при сведении к минимуму побочных. Используя методы визуализации доставки, можно оценить её селективность и эффективность. </w:t>
      </w:r>
    </w:p>
    <w:p w:rsidR="0B593D3F" w:rsidP="742CAB93" w:rsidRDefault="742CAB93" w14:paraId="0A2FE39F" w14:textId="04539EC4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sz w:val="24"/>
          <w:szCs w:val="24"/>
        </w:rPr>
        <w:t>Цель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данной работы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– получение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флуоресцирующих в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ближней инфракрасной (БИК) области спектра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контейнеров, содержащих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лекарственное вещество, и визуализация поглощения таких контейнеров костной тканью.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Оценкой успешности решения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считали флуоресценцию кости, погружённой в коллоидный раствор контейнеров.</w:t>
      </w:r>
    </w:p>
    <w:p w:rsidR="0B593D3F" w:rsidP="742CAB93" w:rsidRDefault="742CAB93" w14:paraId="20A7FC94" w14:textId="7ADD4A33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качестве доставляемых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лекарственных веществ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рассмотрели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гидрофобное соединение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симвастатин и гидрофильный антибиотик гентамицин</w:t>
      </w:r>
      <w:r w:rsidRPr="3063BE47" w:rsidR="3063BE47">
        <w:rPr>
          <w:rFonts w:ascii="Times New Roman" w:hAnsi="Times New Roman" w:eastAsia="Times New Roman" w:cs="Times New Roman"/>
          <w:sz w:val="24"/>
          <w:szCs w:val="24"/>
        </w:rPr>
        <w:t xml:space="preserve"> (Gen).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В качестве модельной кости использовали фрагменты костей куриного крыла, приобретенного в торговой сети. 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Визуализацию осуществили посредством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карбоцианиновых 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красителей, флуоресцирующих в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БИК-области спектра при облучении красным светодиодом (длина волны 650 нм). Кость погружали в суспензию полученных контейнеров, содержащих лекарственное вещество, встряхивали, а затем наблюдали флуоресценцию кости и раствора.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В качестве вектора исследовали тетрациклин, имеющий высокое сродство к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гидроксиапатиту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кости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, однако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его введение в систему привело к тушению эмиссии красителя.</w:t>
      </w:r>
    </w:p>
    <w:p w:rsidR="0B593D3F" w:rsidP="742CAB93" w:rsidRDefault="742CAB93" w14:paraId="5759B799" w14:textId="2DC3327E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70C0"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Для доставки симвастатина получили контейнеры на </w:t>
      </w:r>
      <w:r w:rsidR="00E038E3">
        <w:rPr>
          <w:rFonts w:ascii="Times New Roman" w:hAnsi="Times New Roman" w:eastAsia="Times New Roman" w:cs="Times New Roman"/>
          <w:sz w:val="24"/>
          <w:szCs w:val="24"/>
        </w:rPr>
        <w:t>основе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 сополимеров гликолевой и молочной кислоты (PLGA), содержащие краситель [1]. Исследовали влияние введения холевой и лауриновой кислот в систему и зафиксировали </w:t>
      </w:r>
      <w:r w:rsidRPr="742CAB93" w:rsidR="005B2F3D">
        <w:rPr>
          <w:rFonts w:ascii="Times New Roman" w:hAnsi="Times New Roman" w:eastAsia="Times New Roman" w:cs="Times New Roman"/>
          <w:sz w:val="24"/>
          <w:szCs w:val="24"/>
        </w:rPr>
        <w:t>отсутствие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 улучшения характеристик частиц.</w:t>
      </w:r>
    </w:p>
    <w:p w:rsidR="6A3550E2" w:rsidP="61F2B9A7" w:rsidRDefault="742CAB93" w14:paraId="3F600E79" w14:textId="63F6123D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70C0"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Далее приступили к опытам с гентамицином. 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Проведя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скрининг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красителей и противоионов,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нашли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их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наилучшее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сочетание. Критерием, определяющим пригодность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контейнеров, считали их флуоресценцию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в присутствии гентамицина и отсутствие сигнала без него. 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Для получения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контейнеров использовали методы осаждения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 и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эмульгирования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 xml:space="preserve"> [2],</w:t>
      </w:r>
      <w:r w:rsidRPr="0B593D3F" w:rsidR="0B593D3F">
        <w:rPr>
          <w:rFonts w:ascii="Times New Roman" w:hAnsi="Times New Roman" w:eastAsia="Times New Roman" w:cs="Times New Roman"/>
          <w:sz w:val="24"/>
          <w:szCs w:val="24"/>
        </w:rPr>
        <w:t xml:space="preserve"> а также диализ</w:t>
      </w:r>
      <w:r w:rsidRPr="742CAB9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61F2B9A7" w:rsidP="61F2B9A7" w:rsidRDefault="61F2B9A7" w14:paraId="516F4AE8" w14:textId="175016BA">
      <w:pPr>
        <w:spacing w:after="0" w:line="240" w:lineRule="auto"/>
        <w:ind w:firstLine="397"/>
        <w:jc w:val="center"/>
      </w:pPr>
      <w:r>
        <w:rPr>
          <w:noProof/>
        </w:rPr>
        <w:drawing>
          <wp:inline distT="0" distB="0" distL="0" distR="0" wp14:anchorId="27ADF541" wp14:editId="06F0DAD2">
            <wp:extent cx="3871351" cy="1463361"/>
            <wp:effectExtent l="0" t="0" r="0" b="0"/>
            <wp:docPr id="87712951" name="Picture 8771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3871351" cy="146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2F517" w:rsidP="41F609E3" w:rsidRDefault="2376CD87" w14:paraId="35EFAC2E" w14:textId="5167AFDE">
      <w:pPr>
        <w:spacing w:after="0" w:line="240" w:lineRule="auto"/>
        <w:ind w:firstLine="39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376CD87">
        <w:rPr>
          <w:rFonts w:ascii="Times New Roman" w:hAnsi="Times New Roman" w:eastAsia="Times New Roman" w:cs="Times New Roman"/>
          <w:sz w:val="24"/>
          <w:szCs w:val="24"/>
        </w:rPr>
        <w:t>Рис. 1. Флуоресценция частиц, сорбированных костной тканью</w:t>
      </w:r>
    </w:p>
    <w:p w:rsidR="0B593D3F" w:rsidP="742CAB93" w:rsidRDefault="0B593D3F" w14:paraId="1CB63A9C" w14:textId="5623AC1B"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Проведённое исследование показало, что 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>сорбция на кости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контейнеров на основе 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>PLGA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может не зависеть от присутствия лекарственного вещества. Однако частицы, 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>полученные путем осаждения агрегата гентамицина, лаурата и красителя,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показали большую склонность к сорбции в кость, чем частицы, образованные противоионом и красителем без гентамицина</w:t>
      </w:r>
      <w:r w:rsidRPr="61F2B9A7" w:rsidR="61F2B9A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2589B">
        <w:rPr>
          <w:rFonts w:ascii="Times New Roman" w:hAnsi="Times New Roman" w:eastAsia="Times New Roman" w:cs="Times New Roman"/>
          <w:sz w:val="24"/>
          <w:szCs w:val="24"/>
        </w:rPr>
        <w:t>(рис. 1</w:t>
      </w:r>
      <w:r w:rsidRPr="3063BE47" w:rsidR="3063BE47">
        <w:rPr>
          <w:rFonts w:ascii="Times New Roman" w:hAnsi="Times New Roman" w:eastAsia="Times New Roman" w:cs="Times New Roman"/>
          <w:sz w:val="24"/>
          <w:szCs w:val="24"/>
        </w:rPr>
        <w:t>).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Это позволяет утверждать, что 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>подобные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контейнеры могут быть </w:t>
      </w:r>
      <w:r w:rsidRPr="742CAB93" w:rsidR="742CAB93">
        <w:rPr>
          <w:rFonts w:ascii="Times New Roman" w:hAnsi="Times New Roman" w:eastAsia="Times New Roman" w:cs="Times New Roman"/>
          <w:sz w:val="24"/>
          <w:szCs w:val="24"/>
        </w:rPr>
        <w:t>использованы для решения</w:t>
      </w:r>
      <w:r w:rsidRPr="0B593D3F">
        <w:rPr>
          <w:rFonts w:ascii="Times New Roman" w:hAnsi="Times New Roman" w:eastAsia="Times New Roman" w:cs="Times New Roman"/>
          <w:sz w:val="24"/>
          <w:szCs w:val="24"/>
        </w:rPr>
        <w:t xml:space="preserve"> поставленной задачи.</w:t>
      </w:r>
    </w:p>
    <w:p w:rsidR="742CAB93" w:rsidP="742CAB93" w:rsidRDefault="742CAB93" w14:paraId="0780BB3E" w14:textId="264447D9">
      <w:pPr>
        <w:spacing w:after="0" w:line="240" w:lineRule="auto"/>
        <w:ind w:firstLine="100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42CAB93">
        <w:rPr>
          <w:rFonts w:ascii="Times New Roman" w:hAnsi="Times New Roman" w:eastAsia="Times New Roman" w:cs="Times New Roman"/>
          <w:b/>
          <w:bCs/>
          <w:sz w:val="24"/>
          <w:szCs w:val="24"/>
        </w:rPr>
        <w:t>Литература</w:t>
      </w:r>
    </w:p>
    <w:p w:rsidR="742CAB93" w:rsidP="742CAB93" w:rsidRDefault="742CAB93" w14:paraId="066677F1" w14:textId="04AD69C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Yonghui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Xie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et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al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.//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Drug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Deliv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Transl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 Res. 2018.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Vol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 8.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P.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1090–1102.</w:t>
      </w:r>
    </w:p>
    <w:p w:rsidR="0B593D3F" w:rsidP="742CAB93" w:rsidRDefault="742CAB93" w14:paraId="0D7124AA" w14:textId="4577E914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2. Robert M.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Samstein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et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al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.//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Biomaterials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2008.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Vol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. 29. 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>P.</w:t>
      </w:r>
      <w:r w:rsidRPr="6BA18878" w:rsidR="6BA18878">
        <w:rPr>
          <w:rFonts w:ascii="Times New Roman" w:hAnsi="Times New Roman" w:eastAsia="Times New Roman" w:cs="Times New Roman"/>
          <w:sz w:val="24"/>
          <w:szCs w:val="24"/>
        </w:rPr>
        <w:t xml:space="preserve"> 703–708.</w:t>
      </w:r>
    </w:p>
    <w:sectPr w:rsidR="0B593D3F">
      <w:pgSz w:w="11906" w:h="16838" w:orient="portrait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29D"/>
    <w:multiLevelType w:val="hybridMultilevel"/>
    <w:tmpl w:val="FFFFFFFF"/>
    <w:lvl w:ilvl="0" w:tplc="F3D61450">
      <w:start w:val="1"/>
      <w:numFmt w:val="decimal"/>
      <w:lvlText w:val="%1."/>
      <w:lvlJc w:val="left"/>
      <w:pPr>
        <w:ind w:left="360" w:hanging="360"/>
      </w:pPr>
    </w:lvl>
    <w:lvl w:ilvl="1" w:tplc="BA2CCF74">
      <w:start w:val="1"/>
      <w:numFmt w:val="lowerLetter"/>
      <w:lvlText w:val="%2."/>
      <w:lvlJc w:val="left"/>
      <w:pPr>
        <w:ind w:left="1080" w:hanging="360"/>
      </w:pPr>
    </w:lvl>
    <w:lvl w:ilvl="2" w:tplc="17A2E7C4">
      <w:start w:val="1"/>
      <w:numFmt w:val="lowerRoman"/>
      <w:lvlText w:val="%3."/>
      <w:lvlJc w:val="right"/>
      <w:pPr>
        <w:ind w:left="1800" w:hanging="180"/>
      </w:pPr>
    </w:lvl>
    <w:lvl w:ilvl="3" w:tplc="CB16BEFC">
      <w:start w:val="1"/>
      <w:numFmt w:val="decimal"/>
      <w:lvlText w:val="%4."/>
      <w:lvlJc w:val="left"/>
      <w:pPr>
        <w:ind w:left="2520" w:hanging="360"/>
      </w:pPr>
    </w:lvl>
    <w:lvl w:ilvl="4" w:tplc="3D540B9E">
      <w:start w:val="1"/>
      <w:numFmt w:val="lowerLetter"/>
      <w:lvlText w:val="%5."/>
      <w:lvlJc w:val="left"/>
      <w:pPr>
        <w:ind w:left="3240" w:hanging="360"/>
      </w:pPr>
    </w:lvl>
    <w:lvl w:ilvl="5" w:tplc="1CCC12CA">
      <w:start w:val="1"/>
      <w:numFmt w:val="lowerRoman"/>
      <w:lvlText w:val="%6."/>
      <w:lvlJc w:val="right"/>
      <w:pPr>
        <w:ind w:left="3960" w:hanging="180"/>
      </w:pPr>
    </w:lvl>
    <w:lvl w:ilvl="6" w:tplc="391A293A">
      <w:start w:val="1"/>
      <w:numFmt w:val="decimal"/>
      <w:lvlText w:val="%7."/>
      <w:lvlJc w:val="left"/>
      <w:pPr>
        <w:ind w:left="4680" w:hanging="360"/>
      </w:pPr>
    </w:lvl>
    <w:lvl w:ilvl="7" w:tplc="0CC2C246">
      <w:start w:val="1"/>
      <w:numFmt w:val="lowerLetter"/>
      <w:lvlText w:val="%8."/>
      <w:lvlJc w:val="left"/>
      <w:pPr>
        <w:ind w:left="5400" w:hanging="360"/>
      </w:pPr>
    </w:lvl>
    <w:lvl w:ilvl="8" w:tplc="68560A2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D83E5"/>
    <w:multiLevelType w:val="hybridMultilevel"/>
    <w:tmpl w:val="FFFFFFFF"/>
    <w:lvl w:ilvl="0" w:tplc="1C66F2D4">
      <w:start w:val="1"/>
      <w:numFmt w:val="decimal"/>
      <w:lvlText w:val="%1."/>
      <w:lvlJc w:val="left"/>
      <w:pPr>
        <w:ind w:left="720" w:hanging="360"/>
      </w:pPr>
    </w:lvl>
    <w:lvl w:ilvl="1" w:tplc="6C02225A">
      <w:start w:val="1"/>
      <w:numFmt w:val="lowerLetter"/>
      <w:lvlText w:val="%2."/>
      <w:lvlJc w:val="left"/>
      <w:pPr>
        <w:ind w:left="1440" w:hanging="360"/>
      </w:pPr>
    </w:lvl>
    <w:lvl w:ilvl="2" w:tplc="56BCFFEC">
      <w:start w:val="1"/>
      <w:numFmt w:val="lowerRoman"/>
      <w:lvlText w:val="%3."/>
      <w:lvlJc w:val="right"/>
      <w:pPr>
        <w:ind w:left="2160" w:hanging="180"/>
      </w:pPr>
    </w:lvl>
    <w:lvl w:ilvl="3" w:tplc="8508E8BA">
      <w:start w:val="1"/>
      <w:numFmt w:val="decimal"/>
      <w:lvlText w:val="%4."/>
      <w:lvlJc w:val="left"/>
      <w:pPr>
        <w:ind w:left="2880" w:hanging="360"/>
      </w:pPr>
    </w:lvl>
    <w:lvl w:ilvl="4" w:tplc="B9B4CB54">
      <w:start w:val="1"/>
      <w:numFmt w:val="lowerLetter"/>
      <w:lvlText w:val="%5."/>
      <w:lvlJc w:val="left"/>
      <w:pPr>
        <w:ind w:left="3600" w:hanging="360"/>
      </w:pPr>
    </w:lvl>
    <w:lvl w:ilvl="5" w:tplc="D4766B36">
      <w:start w:val="1"/>
      <w:numFmt w:val="lowerRoman"/>
      <w:lvlText w:val="%6."/>
      <w:lvlJc w:val="right"/>
      <w:pPr>
        <w:ind w:left="4320" w:hanging="180"/>
      </w:pPr>
    </w:lvl>
    <w:lvl w:ilvl="6" w:tplc="833898EE">
      <w:start w:val="1"/>
      <w:numFmt w:val="decimal"/>
      <w:lvlText w:val="%7."/>
      <w:lvlJc w:val="left"/>
      <w:pPr>
        <w:ind w:left="5040" w:hanging="360"/>
      </w:pPr>
    </w:lvl>
    <w:lvl w:ilvl="7" w:tplc="8702E1C6">
      <w:start w:val="1"/>
      <w:numFmt w:val="lowerLetter"/>
      <w:lvlText w:val="%8."/>
      <w:lvlJc w:val="left"/>
      <w:pPr>
        <w:ind w:left="5760" w:hanging="360"/>
      </w:pPr>
    </w:lvl>
    <w:lvl w:ilvl="8" w:tplc="0E8C6F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F504"/>
    <w:multiLevelType w:val="hybridMultilevel"/>
    <w:tmpl w:val="FFFFFFFF"/>
    <w:lvl w:ilvl="0" w:tplc="24728A38">
      <w:start w:val="1"/>
      <w:numFmt w:val="decimal"/>
      <w:lvlText w:val="%1."/>
      <w:lvlJc w:val="left"/>
      <w:pPr>
        <w:ind w:left="720" w:hanging="360"/>
      </w:pPr>
    </w:lvl>
    <w:lvl w:ilvl="1" w:tplc="27FE904C">
      <w:start w:val="1"/>
      <w:numFmt w:val="lowerLetter"/>
      <w:lvlText w:val="%2."/>
      <w:lvlJc w:val="left"/>
      <w:pPr>
        <w:ind w:left="1440" w:hanging="360"/>
      </w:pPr>
    </w:lvl>
    <w:lvl w:ilvl="2" w:tplc="35B6F020">
      <w:start w:val="1"/>
      <w:numFmt w:val="lowerRoman"/>
      <w:lvlText w:val="%3."/>
      <w:lvlJc w:val="right"/>
      <w:pPr>
        <w:ind w:left="2160" w:hanging="180"/>
      </w:pPr>
    </w:lvl>
    <w:lvl w:ilvl="3" w:tplc="C06EB0C0">
      <w:start w:val="1"/>
      <w:numFmt w:val="decimal"/>
      <w:lvlText w:val="%4."/>
      <w:lvlJc w:val="left"/>
      <w:pPr>
        <w:ind w:left="2880" w:hanging="360"/>
      </w:pPr>
    </w:lvl>
    <w:lvl w:ilvl="4" w:tplc="290295E8">
      <w:start w:val="1"/>
      <w:numFmt w:val="lowerLetter"/>
      <w:lvlText w:val="%5."/>
      <w:lvlJc w:val="left"/>
      <w:pPr>
        <w:ind w:left="3600" w:hanging="360"/>
      </w:pPr>
    </w:lvl>
    <w:lvl w:ilvl="5" w:tplc="5D5AB224">
      <w:start w:val="1"/>
      <w:numFmt w:val="lowerRoman"/>
      <w:lvlText w:val="%6."/>
      <w:lvlJc w:val="right"/>
      <w:pPr>
        <w:ind w:left="4320" w:hanging="180"/>
      </w:pPr>
    </w:lvl>
    <w:lvl w:ilvl="6" w:tplc="A212FC28">
      <w:start w:val="1"/>
      <w:numFmt w:val="decimal"/>
      <w:lvlText w:val="%7."/>
      <w:lvlJc w:val="left"/>
      <w:pPr>
        <w:ind w:left="5040" w:hanging="360"/>
      </w:pPr>
    </w:lvl>
    <w:lvl w:ilvl="7" w:tplc="15C23030">
      <w:start w:val="1"/>
      <w:numFmt w:val="lowerLetter"/>
      <w:lvlText w:val="%8."/>
      <w:lvlJc w:val="left"/>
      <w:pPr>
        <w:ind w:left="5760" w:hanging="360"/>
      </w:pPr>
    </w:lvl>
    <w:lvl w:ilvl="8" w:tplc="E738F5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7F49"/>
    <w:multiLevelType w:val="hybridMultilevel"/>
    <w:tmpl w:val="FFFFFFFF"/>
    <w:lvl w:ilvl="0" w:tplc="77DCA6C0">
      <w:start w:val="1"/>
      <w:numFmt w:val="decimal"/>
      <w:lvlText w:val="%1."/>
      <w:lvlJc w:val="left"/>
      <w:pPr>
        <w:ind w:left="720" w:hanging="360"/>
      </w:pPr>
    </w:lvl>
    <w:lvl w:ilvl="1" w:tplc="B58E898E">
      <w:start w:val="1"/>
      <w:numFmt w:val="lowerLetter"/>
      <w:lvlText w:val="%2."/>
      <w:lvlJc w:val="left"/>
      <w:pPr>
        <w:ind w:left="1440" w:hanging="360"/>
      </w:pPr>
    </w:lvl>
    <w:lvl w:ilvl="2" w:tplc="AACE0B4C">
      <w:start w:val="1"/>
      <w:numFmt w:val="lowerRoman"/>
      <w:lvlText w:val="%3."/>
      <w:lvlJc w:val="right"/>
      <w:pPr>
        <w:ind w:left="2160" w:hanging="180"/>
      </w:pPr>
    </w:lvl>
    <w:lvl w:ilvl="3" w:tplc="D990E518">
      <w:start w:val="1"/>
      <w:numFmt w:val="decimal"/>
      <w:lvlText w:val="%4."/>
      <w:lvlJc w:val="left"/>
      <w:pPr>
        <w:ind w:left="2880" w:hanging="360"/>
      </w:pPr>
    </w:lvl>
    <w:lvl w:ilvl="4" w:tplc="5100DD5A">
      <w:start w:val="1"/>
      <w:numFmt w:val="lowerLetter"/>
      <w:lvlText w:val="%5."/>
      <w:lvlJc w:val="left"/>
      <w:pPr>
        <w:ind w:left="3600" w:hanging="360"/>
      </w:pPr>
    </w:lvl>
    <w:lvl w:ilvl="5" w:tplc="80EC7B2C">
      <w:start w:val="1"/>
      <w:numFmt w:val="lowerRoman"/>
      <w:lvlText w:val="%6."/>
      <w:lvlJc w:val="right"/>
      <w:pPr>
        <w:ind w:left="4320" w:hanging="180"/>
      </w:pPr>
    </w:lvl>
    <w:lvl w:ilvl="6" w:tplc="B3042F84">
      <w:start w:val="1"/>
      <w:numFmt w:val="decimal"/>
      <w:lvlText w:val="%7."/>
      <w:lvlJc w:val="left"/>
      <w:pPr>
        <w:ind w:left="5040" w:hanging="360"/>
      </w:pPr>
    </w:lvl>
    <w:lvl w:ilvl="7" w:tplc="1FB4A268">
      <w:start w:val="1"/>
      <w:numFmt w:val="lowerLetter"/>
      <w:lvlText w:val="%8."/>
      <w:lvlJc w:val="left"/>
      <w:pPr>
        <w:ind w:left="5760" w:hanging="360"/>
      </w:pPr>
    </w:lvl>
    <w:lvl w:ilvl="8" w:tplc="FF8AD910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79070">
    <w:abstractNumId w:val="2"/>
  </w:num>
  <w:num w:numId="2" w16cid:durableId="387922847">
    <w:abstractNumId w:val="0"/>
  </w:num>
  <w:num w:numId="3" w16cid:durableId="176357620">
    <w:abstractNumId w:val="1"/>
  </w:num>
  <w:num w:numId="4" w16cid:durableId="816458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1642F"/>
    <w:rsid w:val="001210F3"/>
    <w:rsid w:val="0012589B"/>
    <w:rsid w:val="00131ED7"/>
    <w:rsid w:val="00144D96"/>
    <w:rsid w:val="00161A22"/>
    <w:rsid w:val="001B370C"/>
    <w:rsid w:val="00211948"/>
    <w:rsid w:val="003C6EA1"/>
    <w:rsid w:val="003F0F5D"/>
    <w:rsid w:val="00447043"/>
    <w:rsid w:val="00481B1B"/>
    <w:rsid w:val="00566D7B"/>
    <w:rsid w:val="00571C75"/>
    <w:rsid w:val="005A03FB"/>
    <w:rsid w:val="005B2F3D"/>
    <w:rsid w:val="006638DA"/>
    <w:rsid w:val="006D1489"/>
    <w:rsid w:val="00701CE7"/>
    <w:rsid w:val="007071EB"/>
    <w:rsid w:val="007B5042"/>
    <w:rsid w:val="009E0A64"/>
    <w:rsid w:val="009F6305"/>
    <w:rsid w:val="00A404AB"/>
    <w:rsid w:val="00AC6D52"/>
    <w:rsid w:val="00B44D38"/>
    <w:rsid w:val="00C01E04"/>
    <w:rsid w:val="00C74056"/>
    <w:rsid w:val="00CD40B3"/>
    <w:rsid w:val="00D21FE4"/>
    <w:rsid w:val="00D638B9"/>
    <w:rsid w:val="00E038E3"/>
    <w:rsid w:val="00E17371"/>
    <w:rsid w:val="00E74294"/>
    <w:rsid w:val="00EE48E9"/>
    <w:rsid w:val="00F427D8"/>
    <w:rsid w:val="00F618DF"/>
    <w:rsid w:val="00F94F63"/>
    <w:rsid w:val="00FB46F7"/>
    <w:rsid w:val="04CCF189"/>
    <w:rsid w:val="0B593D3F"/>
    <w:rsid w:val="11CE8ABA"/>
    <w:rsid w:val="17064247"/>
    <w:rsid w:val="198E7F8D"/>
    <w:rsid w:val="2376CD87"/>
    <w:rsid w:val="23B269FD"/>
    <w:rsid w:val="3015849F"/>
    <w:rsid w:val="3063BE47"/>
    <w:rsid w:val="41F609E3"/>
    <w:rsid w:val="440B24C3"/>
    <w:rsid w:val="4F6B5F82"/>
    <w:rsid w:val="595609C7"/>
    <w:rsid w:val="5A62F517"/>
    <w:rsid w:val="61F2B9A7"/>
    <w:rsid w:val="6A3550E2"/>
    <w:rsid w:val="6BA18878"/>
    <w:rsid w:val="6BCF5ADB"/>
    <w:rsid w:val="6D288FB6"/>
    <w:rsid w:val="6D6CF1A4"/>
    <w:rsid w:val="742CAB93"/>
    <w:rsid w:val="77B1642F"/>
    <w:rsid w:val="7FB3F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42F"/>
  <w15:chartTrackingRefBased/>
  <w15:docId w15:val="{63BFAA93-D865-4A53-81B8-8AA0F5C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6E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6E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mailto:sovanarizz@yandex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Луенкова Анастасия</dc:creator>
  <keywords/>
  <dc:description/>
  <lastModifiedBy>Луенкова Анастасия</lastModifiedBy>
  <revision>15</revision>
  <dcterms:created xsi:type="dcterms:W3CDTF">2023-02-16T21:06:00.0000000Z</dcterms:created>
  <dcterms:modified xsi:type="dcterms:W3CDTF">2023-02-16T18:04:57.7260966Z</dcterms:modified>
</coreProperties>
</file>