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Calibri" w:cs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 w:eastAsia="en-US"/>
        </w:rPr>
        <w:t>Синтез и сорбционные свойства сополимера ксантана и акриламида</w:t>
      </w:r>
    </w:p>
    <w:p>
      <w:pPr>
        <w:jc w:val="center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  <w:lang w:val="ru-RU" w:eastAsia="en-US"/>
        </w:rPr>
        <w:t>Смирнов А.К.</w:t>
      </w:r>
      <w:r>
        <w:rPr>
          <w:rFonts w:hint="default" w:ascii="Times New Roman" w:hAnsi="Times New Roman" w:eastAsia="Calibri" w:cs="Times New Roman"/>
          <w:b/>
          <w:i/>
          <w:sz w:val="24"/>
          <w:szCs w:val="24"/>
          <w:lang w:val="ru-RU" w:eastAsia="en-US"/>
        </w:rPr>
        <w:t>, Шиповская А.Б.</w:t>
      </w:r>
      <w:bookmarkStart w:id="0" w:name="_GoBack"/>
      <w:bookmarkEnd w:id="0"/>
      <w:r>
        <w:rPr>
          <w:rFonts w:ascii="Times New Roman" w:hAnsi="Times New Roman" w:eastAsia="Calibri" w:cs="Times New Roman"/>
          <w:b/>
          <w:i/>
          <w:sz w:val="24"/>
          <w:szCs w:val="24"/>
          <w:lang w:val="ru-RU" w:eastAsia="en-US"/>
        </w:rPr>
        <w:br w:type="textWrapping"/>
      </w:r>
      <w:r>
        <w:rPr>
          <w:rFonts w:ascii="Times New Roman" w:hAnsi="Times New Roman" w:eastAsia="Calibri" w:cs="Times New Roman"/>
          <w:i/>
          <w:sz w:val="24"/>
          <w:szCs w:val="24"/>
          <w:lang w:val="ru-RU" w:eastAsia="en-US"/>
        </w:rPr>
        <w:t>Аспирант, 1 год обучени</w:t>
      </w:r>
      <w:r>
        <w:rPr>
          <w:rFonts w:ascii="Times New Roman" w:hAnsi="Times New Roman" w:eastAsia="Calibri" w:cs="Times New Roman"/>
          <w:sz w:val="24"/>
          <w:szCs w:val="24"/>
          <w:lang w:val="ru-RU" w:eastAsia="en-US"/>
        </w:rPr>
        <w:t>я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 w:eastAsia="Calibri" w:cs="Times New Roman"/>
          <w:i/>
          <w:iCs/>
          <w:color w:val="000000"/>
          <w:sz w:val="24"/>
          <w:szCs w:val="24"/>
          <w:lang w:val="ru-RU" w:eastAsia="en-US"/>
        </w:rPr>
        <w:t>Саратовский национальный исследовательский государственный университет имени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u-RU" w:eastAsia="en-US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 w:eastAsia="Calibri" w:cs="Times New Roman"/>
          <w:i/>
          <w:iCs/>
          <w:sz w:val="24"/>
          <w:szCs w:val="24"/>
          <w:lang w:val="ru-RU" w:eastAsia="en-US"/>
        </w:rPr>
        <w:t>Н. Г. Чернышевского, Саратов, Россия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Calibri"/>
          <w:sz w:val="24"/>
          <w:szCs w:val="24"/>
          <w:lang w:val="ru-RU" w:eastAsia="en-US"/>
        </w:rPr>
      </w:pPr>
      <w:r>
        <w:rPr>
          <w:rFonts w:ascii="Times New Roman" w:hAnsi="Times New Roman" w:eastAsia="Calibri" w:cs="Times New Roman"/>
          <w:i/>
          <w:iCs/>
          <w:sz w:val="24"/>
          <w:szCs w:val="24"/>
          <w:lang w:eastAsia="en-US"/>
        </w:rPr>
        <w:t>E</w:t>
      </w:r>
      <w:r>
        <w:rPr>
          <w:rFonts w:ascii="Times New Roman" w:hAnsi="Times New Roman" w:eastAsia="Calibri" w:cs="Times New Roman"/>
          <w:i/>
          <w:iCs/>
          <w:sz w:val="24"/>
          <w:szCs w:val="24"/>
          <w:lang w:val="ru-RU" w:eastAsia="en-US"/>
        </w:rPr>
        <w:t>–</w:t>
      </w:r>
      <w:r>
        <w:rPr>
          <w:rFonts w:ascii="Times New Roman" w:hAnsi="Times New Roman" w:eastAsia="Calibri" w:cs="Times New Roman"/>
          <w:i/>
          <w:iCs/>
          <w:sz w:val="24"/>
          <w:szCs w:val="24"/>
          <w:lang w:eastAsia="en-US"/>
        </w:rPr>
        <w:t>mail</w:t>
      </w:r>
      <w:r>
        <w:rPr>
          <w:rFonts w:ascii="Times New Roman" w:hAnsi="Times New Roman" w:eastAsia="Calibri" w:cs="Times New Roman"/>
          <w:i/>
          <w:iCs/>
          <w:sz w:val="24"/>
          <w:szCs w:val="24"/>
          <w:lang w:val="ru-RU" w:eastAsia="en-US"/>
        </w:rPr>
        <w:t xml:space="preserve">: </w:t>
      </w:r>
      <w:r>
        <w:rPr>
          <w:rFonts w:ascii="Times New Roman" w:hAnsi="Times New Roman" w:eastAsia="Calibri" w:cs="Times New Roman"/>
          <w:i/>
          <w:iCs/>
          <w:sz w:val="24"/>
          <w:szCs w:val="24"/>
          <w:lang w:eastAsia="en-US"/>
        </w:rPr>
        <w:t>anton</w:t>
      </w:r>
      <w:r>
        <w:rPr>
          <w:rFonts w:ascii="Times New Roman" w:hAnsi="Times New Roman" w:eastAsia="Calibri" w:cs="Times New Roman"/>
          <w:i/>
          <w:iCs/>
          <w:sz w:val="24"/>
          <w:szCs w:val="24"/>
          <w:lang w:val="ru-RU" w:eastAsia="en-US"/>
        </w:rPr>
        <w:t>.</w:t>
      </w:r>
      <w:r>
        <w:rPr>
          <w:rFonts w:ascii="Times New Roman" w:hAnsi="Times New Roman" w:eastAsia="Calibri" w:cs="Times New Roman"/>
          <w:i/>
          <w:iCs/>
          <w:sz w:val="24"/>
          <w:szCs w:val="24"/>
          <w:lang w:eastAsia="en-US"/>
        </w:rPr>
        <w:t>smirnov</w:t>
      </w:r>
      <w:r>
        <w:rPr>
          <w:rFonts w:ascii="Times New Roman" w:hAnsi="Times New Roman" w:eastAsia="Calibri" w:cs="Times New Roman"/>
          <w:i/>
          <w:iCs/>
          <w:sz w:val="24"/>
          <w:szCs w:val="24"/>
          <w:lang w:val="ru-RU" w:eastAsia="en-US"/>
        </w:rPr>
        <w:t>.98@</w:t>
      </w:r>
      <w:r>
        <w:rPr>
          <w:rFonts w:ascii="Times New Roman" w:hAnsi="Times New Roman" w:eastAsia="Calibri" w:cs="Times New Roman"/>
          <w:i/>
          <w:iCs/>
          <w:sz w:val="24"/>
          <w:szCs w:val="24"/>
          <w:lang w:eastAsia="en-US"/>
        </w:rPr>
        <w:t>yandex</w:t>
      </w:r>
      <w:r>
        <w:rPr>
          <w:rFonts w:ascii="Times New Roman" w:hAnsi="Times New Roman" w:eastAsia="Calibri" w:cs="Times New Roman"/>
          <w:i/>
          <w:iCs/>
          <w:sz w:val="24"/>
          <w:szCs w:val="24"/>
          <w:lang w:val="ru-RU" w:eastAsia="en-US"/>
        </w:rPr>
        <w:t>.</w:t>
      </w:r>
      <w:r>
        <w:rPr>
          <w:rFonts w:ascii="Times New Roman" w:hAnsi="Times New Roman" w:eastAsia="Calibri" w:cs="Times New Roman"/>
          <w:i/>
          <w:iCs/>
          <w:sz w:val="24"/>
          <w:szCs w:val="24"/>
          <w:lang w:eastAsia="en-US"/>
        </w:rPr>
        <w:t>ru</w:t>
      </w:r>
    </w:p>
    <w:p>
      <w:pPr>
        <w:ind w:firstLine="397"/>
        <w:jc w:val="both"/>
        <w:rPr>
          <w:rFonts w:ascii="Times New Roman" w:hAnsi="Times New Roman" w:eastAsia="Calibri"/>
          <w:sz w:val="24"/>
          <w:szCs w:val="24"/>
          <w:lang w:val="ru-RU" w:eastAsia="en-US"/>
        </w:rPr>
      </w:pPr>
      <w:r>
        <w:rPr>
          <w:rFonts w:ascii="Times New Roman" w:hAnsi="Times New Roman" w:eastAsia="Calibri"/>
          <w:sz w:val="24"/>
          <w:szCs w:val="24"/>
          <w:lang w:val="ru-RU" w:eastAsia="en-US"/>
        </w:rPr>
        <w:t>В последнее время возрос интерес к модификации природных полисахаридов посредством привитой сополимеризации акриловых мономеров. Актуальность синтеза таких графт-сополимеров</w:t>
      </w:r>
      <w:r>
        <w:rPr>
          <w:rFonts w:ascii="Times New Roman" w:hAnsi="Times New Roman" w:eastAsia="Calibri"/>
          <w:color w:val="FF0000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обусловлена получением новых материалов для медико-фармацевтических приложений, например, для направленной доставки лекарственных средств, создания раневых покрытий, тканеинженерных конструкций и др. [1, 2]. Среди многообразия методов получения графт-сополимеров наиболее перспективным является микроволновый синтез. Он позволяет получать сополимеры хорошего качества в течение нескольких минут, однако применим не для каждого полисахарида.</w:t>
      </w:r>
    </w:p>
    <w:p>
      <w:pPr>
        <w:ind w:firstLine="397"/>
        <w:jc w:val="both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val="ru-RU" w:eastAsia="en-US"/>
        </w:rPr>
        <w:t>В настоящем сообщении обсуждаются результаты микроволнового синтеза сополимеров ксантана с акриламидом с использованием 1% раствора</w:t>
      </w:r>
      <w:r>
        <w:rPr>
          <w:rFonts w:ascii="Times New Roman" w:hAnsi="Times New Roman" w:eastAsia="Calibri" w:cs="Times New Roman"/>
          <w:color w:val="FF0000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ru-RU" w:eastAsia="en-US"/>
        </w:rPr>
        <w:t xml:space="preserve">персульфата аммония в качестве инициатора и варьировании концентрации акриламида в реакционной среде. Графт-солимеры выделяли смесью этанол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: </w:t>
      </w:r>
      <w:r>
        <w:rPr>
          <w:rFonts w:ascii="Times New Roman" w:hAnsi="Times New Roman" w:eastAsia="Calibri" w:cs="Times New Roman"/>
          <w:sz w:val="24"/>
          <w:szCs w:val="24"/>
          <w:lang w:val="ru-RU" w:eastAsia="en-US"/>
        </w:rPr>
        <w:t xml:space="preserve">вода (8 : 2) и сушили в термошкафу до постоянной массы. Достоинством микроволонового метода можно назвать получение привитого сополимера непродолжительное время (2 мин) и с высоким выходом (59-92%). </w:t>
      </w:r>
    </w:p>
    <w:p>
      <w:pPr>
        <w:ind w:firstLine="397"/>
        <w:jc w:val="both"/>
        <w:rPr>
          <w:rFonts w:ascii="Times New Roman" w:hAnsi="Times New Roman" w:eastAsia="Calibri"/>
          <w:sz w:val="24"/>
          <w:szCs w:val="24"/>
          <w:lang w:val="ru-RU"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val="ru-RU" w:eastAsia="en-US"/>
        </w:rPr>
        <w:t xml:space="preserve">Формирование привитого сополимера подтверждено методом ИК-спектроскопии.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Пики в районе 1635-1690 см</w:t>
      </w:r>
      <w:r>
        <w:rPr>
          <w:rFonts w:ascii="Times New Roman" w:hAnsi="Times New Roman" w:eastAsia="Calibri"/>
          <w:sz w:val="24"/>
          <w:szCs w:val="24"/>
          <w:vertAlign w:val="superscript"/>
          <w:lang w:val="ru-RU" w:eastAsia="en-US"/>
        </w:rPr>
        <w:t>-1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 относятся к С=О связям, при 1423-1455 см</w:t>
      </w:r>
      <w:r>
        <w:rPr>
          <w:rFonts w:ascii="Times New Roman" w:hAnsi="Times New Roman" w:eastAsia="Calibri"/>
          <w:sz w:val="24"/>
          <w:szCs w:val="24"/>
          <w:vertAlign w:val="superscript"/>
          <w:lang w:val="ru-RU" w:eastAsia="en-US"/>
        </w:rPr>
        <w:t>-1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 – C-N связи звеньев акриламида. Полосы при 3402-3421 см</w:t>
      </w:r>
      <w:r>
        <w:rPr>
          <w:rFonts w:ascii="Times New Roman" w:hAnsi="Times New Roman" w:eastAsia="Calibri"/>
          <w:sz w:val="24"/>
          <w:szCs w:val="24"/>
          <w:vertAlign w:val="superscript"/>
          <w:lang w:val="ru-RU" w:eastAsia="en-US"/>
        </w:rPr>
        <w:t>-1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 отвечают за перекрывание N-OH амидной группы и OH-групп ксантана. Полоса при ~1100 см</w:t>
      </w:r>
      <w:r>
        <w:rPr>
          <w:rFonts w:ascii="Times New Roman" w:hAnsi="Times New Roman" w:eastAsia="Calibri"/>
          <w:sz w:val="24"/>
          <w:szCs w:val="24"/>
          <w:vertAlign w:val="superscript"/>
          <w:lang w:val="ru-RU" w:eastAsia="en-US"/>
        </w:rPr>
        <w:t>-1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 соответствует эфирной связи между ОН-группами ксантана и привитых звеньев полиакриламида.</w:t>
      </w:r>
    </w:p>
    <w:p>
      <w:pPr>
        <w:spacing w:before="60"/>
        <w:ind w:firstLine="397"/>
        <w:jc w:val="center"/>
        <w:rPr>
          <w:rFonts w:ascii="Times New Roman" w:hAnsi="Times New Roman" w:eastAsia="Calibri"/>
          <w:sz w:val="24"/>
          <w:szCs w:val="24"/>
          <w:lang w:val="ru-RU" w:eastAsia="en-US"/>
        </w:rPr>
      </w:pPr>
      <w:r>
        <w:rPr>
          <w:rFonts w:ascii="Times New Roman" w:hAnsi="Times New Roman" w:eastAsia="Calibri"/>
          <w:sz w:val="24"/>
          <w:szCs w:val="24"/>
          <w:lang w:val="ru-RU" w:eastAsia="en-US"/>
        </w:rPr>
        <w:object>
          <v:shape id="_x0000_i1025" o:spt="75" type="#_x0000_t75" style="height:138.55pt;width:310.3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f"/>
            <w10:wrap type="none"/>
            <w10:anchorlock/>
          </v:shape>
          <o:OLEObject Type="Embed" ProgID="ACD.ChemSketch.20" ShapeID="_x0000_i1025" DrawAspect="Content" ObjectID="_1468075725" r:id="rId4">
            <o:LockedField>false</o:LockedField>
          </o:OLEObject>
        </w:object>
      </w:r>
    </w:p>
    <w:p>
      <w:pPr>
        <w:spacing w:after="60"/>
        <w:ind w:firstLine="397"/>
        <w:jc w:val="center"/>
        <w:rPr>
          <w:rFonts w:ascii="Times New Roman" w:hAnsi="Times New Roman" w:eastAsia="Calibri"/>
          <w:sz w:val="24"/>
          <w:szCs w:val="24"/>
          <w:lang w:val="ru-RU" w:eastAsia="en-US"/>
        </w:rPr>
      </w:pPr>
      <w:r>
        <w:rPr>
          <w:rFonts w:ascii="Times New Roman" w:hAnsi="Times New Roman" w:eastAsia="Calibri"/>
          <w:sz w:val="24"/>
          <w:szCs w:val="24"/>
          <w:lang w:val="ru-RU" w:eastAsia="en-US"/>
        </w:rPr>
        <w:t>Структурная формула графт-сополимера ксантана с акриламидом</w:t>
      </w:r>
    </w:p>
    <w:p>
      <w:pPr>
        <w:ind w:firstLine="397"/>
        <w:jc w:val="both"/>
        <w:rPr>
          <w:rFonts w:ascii="Times New Roman" w:hAnsi="Times New Roman" w:eastAsia="Calibri"/>
          <w:sz w:val="24"/>
          <w:szCs w:val="24"/>
          <w:lang w:val="ru-RU"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val="ru-RU" w:eastAsia="en-US"/>
        </w:rPr>
        <w:t xml:space="preserve">Все полученные образцы сополимера проявляют способность к водонабуханию. Продукты способны поглощать от 3.3 до 14.2 г/г воды.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Установлено влияние концентрации акриламида в исходной реакционной среде на способность к водопоглощению готового продукта. Увеличение количества привитых фрагментов полиакриламида снижает способность образца к поглощению воды. Полученные сополимеры могут быть перспективны в качестве сорбентов природных и биологических жидкостей, а также водопоглощающих материалов для нефтедобывающей промышленности. </w:t>
      </w: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 w:eastAsia="en-US"/>
        </w:rPr>
        <w:t>Литература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1. </w:t>
      </w:r>
      <w:r>
        <w:rPr>
          <w:rFonts w:ascii="Times New Roman" w:hAnsi="Times New Roman" w:eastAsia="Calibri"/>
          <w:sz w:val="24"/>
          <w:szCs w:val="24"/>
          <w:lang w:eastAsia="en-US"/>
        </w:rPr>
        <w:t>Kaur A., Singh D., Sud D. A review on grafted, crosslinked and composites of biopolymer Xanthan gum for phasing out synthetic dyes and toxic metal ions from aqueous solutions // Journal of Polymer Research. 2020. V. 27. P. 1-19.</w:t>
      </w:r>
    </w:p>
    <w:p>
      <w:pPr>
        <w:jc w:val="both"/>
        <w:rPr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2. 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Patel A. Synthesis of acrylamide grafted xanthan gum by microwave assisted method: FTIR characteristics and acute oral toxicity study // An international journal of pharmaceutical sciences.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2016. 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V.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7.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 No.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1. </w:t>
      </w:r>
      <w:r>
        <w:rPr>
          <w:rFonts w:ascii="Times New Roman" w:hAnsi="Times New Roman" w:eastAsia="Calibri"/>
          <w:sz w:val="24"/>
          <w:szCs w:val="24"/>
          <w:lang w:eastAsia="en-US"/>
        </w:rPr>
        <w:t>P. 129-145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.</w:t>
      </w:r>
    </w:p>
    <w:sectPr>
      <w:pgSz w:w="11906" w:h="16838"/>
      <w:pgMar w:top="1134" w:right="1361" w:bottom="1134" w:left="136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708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39"/>
    <w:rsid w:val="00164092"/>
    <w:rsid w:val="00604992"/>
    <w:rsid w:val="006B6F0F"/>
    <w:rsid w:val="00C21D0A"/>
    <w:rsid w:val="00F9501D"/>
    <w:rsid w:val="00FA1339"/>
    <w:rsid w:val="0A363446"/>
    <w:rsid w:val="1268212C"/>
    <w:rsid w:val="27426912"/>
    <w:rsid w:val="312F5F2A"/>
    <w:rsid w:val="3C6D18D8"/>
    <w:rsid w:val="6DBF4458"/>
    <w:rsid w:val="7F6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419</Words>
  <Characters>2389</Characters>
  <Lines>19</Lines>
  <Paragraphs>5</Paragraphs>
  <TotalTime>0</TotalTime>
  <ScaleCrop>false</ScaleCrop>
  <LinksUpToDate>false</LinksUpToDate>
  <CharactersWithSpaces>2803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2023-02-15T12:22:00Z</dcterms:created>
  <dc:creator>32lab</dc:creator>
  <cp:lastModifiedBy>32lab</cp:lastModifiedBy>
  <dcterms:modified xsi:type="dcterms:W3CDTF">2023-02-28T06:17:28Z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5E6734B345604C6BB7E0FD79CFFE4635</vt:lpwstr>
  </property>
</Properties>
</file>