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ind w:firstLine="661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Исследование каталитических систем </w:t>
      </w:r>
      <w:r>
        <w:rPr>
          <w:rFonts w:cs="Times New Roman" w:ascii="Times New Roman" w:hAnsi="Times New Roman"/>
          <w:b/>
          <w:bCs/>
          <w:sz w:val="24"/>
          <w:szCs w:val="24"/>
        </w:rPr>
        <w:t>Rh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/</w:t>
      </w:r>
      <w:r>
        <w:rPr>
          <w:rFonts w:cs="Times New Roman" w:ascii="Times New Roman" w:hAnsi="Times New Roman"/>
          <w:b/>
          <w:bCs/>
          <w:sz w:val="24"/>
          <w:szCs w:val="24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-лиганд в гомогенном гидрировании альдегидов в атмосфере синтез-газа</w:t>
      </w:r>
    </w:p>
    <w:p>
      <w:pPr>
        <w:pStyle w:val="Normal"/>
        <w:spacing w:lineRule="auto" w:line="240" w:before="0" w:after="0"/>
        <w:ind w:firstLine="661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Боровой И.А.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, Ненашева М.В., Горбунов Д.Н.</w:t>
      </w:r>
    </w:p>
    <w:p>
      <w:pPr>
        <w:pStyle w:val="Normal"/>
        <w:spacing w:lineRule="auto" w:line="240" w:before="0" w:after="0"/>
        <w:ind w:firstLine="660"/>
        <w:jc w:val="center"/>
        <w:rPr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Студент 6-го курса специалитета</w:t>
      </w:r>
    </w:p>
    <w:p>
      <w:pPr>
        <w:pStyle w:val="Normal"/>
        <w:spacing w:lineRule="auto" w:line="240" w:before="0" w:after="0"/>
        <w:ind w:firstLine="660"/>
        <w:jc w:val="center"/>
        <w:rPr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Московский государственный университет имени М.В.Ломоносова,</w:t>
      </w:r>
    </w:p>
    <w:p>
      <w:pPr>
        <w:pStyle w:val="Normal"/>
        <w:spacing w:lineRule="auto" w:line="240" w:before="0" w:after="0"/>
        <w:ind w:firstLine="660"/>
        <w:jc w:val="center"/>
        <w:rPr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химический факультет, Москва, Россия</w:t>
      </w:r>
    </w:p>
    <w:p>
      <w:pPr>
        <w:pStyle w:val="Normal"/>
        <w:spacing w:lineRule="auto" w:line="240" w:before="0" w:after="0"/>
        <w:ind w:firstLine="660"/>
        <w:jc w:val="center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</w:rPr>
        <w:t>E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i/>
          <w:sz w:val="24"/>
          <w:szCs w:val="24"/>
        </w:rPr>
        <w:t>mail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 xml:space="preserve">: </w:t>
      </w:r>
      <w:hyperlink r:id="rId2">
        <w:r>
          <w:rPr>
            <w:rStyle w:val="InternetLink"/>
            <w:rFonts w:cs="Times New Roman" w:ascii="Times New Roman" w:hAnsi="Times New Roman"/>
            <w:i/>
            <w:sz w:val="24"/>
            <w:szCs w:val="24"/>
          </w:rPr>
          <w:t>borovoy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  <w:lang w:val="ru-RU"/>
          </w:rPr>
          <w:t>.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</w:rPr>
          <w:t>vanya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  <w:lang w:val="ru-RU"/>
          </w:rPr>
          <w:t>@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</w:rPr>
          <w:t>mail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  <w:lang w:val="ru-RU"/>
          </w:rPr>
          <w:t>.</w:t>
        </w:r>
        <w:r>
          <w:rPr>
            <w:rStyle w:val="InternetLink"/>
            <w:rFonts w:cs="Times New Roman" w:ascii="Times New Roman" w:hAnsi="Times New Roman"/>
            <w:i/>
            <w:sz w:val="24"/>
            <w:szCs w:val="24"/>
          </w:rPr>
          <w:t>ru</w:t>
        </w:r>
      </w:hyperlink>
    </w:p>
    <w:p>
      <w:pPr>
        <w:pStyle w:val="Normal"/>
        <w:spacing w:lineRule="auto" w:line="240" w:before="0" w:after="0"/>
        <w:ind w:firstLine="660"/>
        <w:jc w:val="center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Гидроформилирование (оксо-синтез) – один из наиболее крупнотоннажных промышленных процессов, основанных на гомогенном катализе, с суммарным объемом производства 14 млн тонн в год. Получаемые гидроформилированием олефинов альдегиды являются субстратами для синтеза многочисленных вторичных продуктов, в числе которых спирты, ацетали, амины и карбоновые кислоты. Реакция тандемного гидроформилирования-гидрирования является перспективным способом промышленного получения первичных спиртов, т.к. позволяет за один технологический прием получать такие спирты из олефинов [1,2]. Для осуществления последовательных превращений из олефина в альдегид, а затем альдегида в спирт, необходимо использование каталитической системы, проявляющей активность в обеих стадиях тандемной реакции (рис. 1).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en-US"/>
        </w:rPr>
        <w:drawing>
          <wp:inline distT="0" distB="0" distL="0" distR="0">
            <wp:extent cx="5829935" cy="7289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64" r="-8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66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Рисунок 1. Схема тандемной реакции гидроформилирования-гидрирования</w:t>
      </w:r>
    </w:p>
    <w:p>
      <w:pPr>
        <w:pStyle w:val="Normal"/>
        <w:spacing w:lineRule="auto" w:line="240" w:before="0" w:after="0"/>
        <w:ind w:firstLine="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66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данной работе проведено исследование серии родиевых каталитических систем с азотсодержащими лигандами различного строения. Выявлено влияние структуры лиганда на начальную скорость гидроформилирования олефинов и гидрирования альдегидов до спиртов. Установлено, что лиганд N-метилпирролидин (NMP) имеет наиболее оптимальное сочетание электрон-донорных и осн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вных свойств, а также стерической структуры для модификации родиевого прекурсора, что позволяет достичь высоких скоростей как гидроформилирования, так и гидрирования. 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Так, гидрирование модельного субстрата гептаналя при p(CO/H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val="ru-RU" w:bidi="ar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 xml:space="preserve">)=30 атм и T=90℃ с применением системы </w:t>
      </w:r>
      <w:r>
        <w:rPr>
          <w:rFonts w:cs="Times New Roman" w:ascii="Times New Roman" w:hAnsi="Times New Roman"/>
          <w:color w:val="000000"/>
          <w:sz w:val="24"/>
          <w:szCs w:val="24"/>
          <w:lang w:bidi="ar"/>
        </w:rPr>
        <w:t>Rh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lang w:bidi="ar"/>
        </w:rPr>
        <w:t>NMP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 xml:space="preserve"> проведено с TOF, равным 383 ч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val="ru-RU" w:bidi="ar"/>
        </w:rPr>
        <w:t>-1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. В реакции гидроформилирования-гидрирования модельного субстрата гексена-1 при p(CO/H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val="ru-RU" w:bidi="ar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)=45 атм и T=90℃ был достигнут TOF, равный 365 ч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val="ru-RU" w:bidi="ar"/>
        </w:rPr>
        <w:t>-1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 xml:space="preserve">. Кроме того, гидрирующая активность </w:t>
      </w:r>
      <w:r>
        <w:rPr>
          <w:rFonts w:cs="Times New Roman" w:ascii="Times New Roman" w:hAnsi="Times New Roman"/>
          <w:color w:val="000000"/>
          <w:sz w:val="24"/>
          <w:szCs w:val="24"/>
          <w:lang w:bidi="ar"/>
        </w:rPr>
        <w:t>Rh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lang w:bidi="ar"/>
        </w:rPr>
        <w:t>N</w:t>
      </w: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-лиганд систем может быть использована для разработки других тандемных процессов на основе гидроформилирования, включающих стадии восстановления (гидроаминометилирование, гидроформилирование – альдольная конденсация – гидрирование и др.)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</w:r>
    </w:p>
    <w:p>
      <w:pPr>
        <w:pStyle w:val="Normal"/>
        <w:spacing w:lineRule="auto" w:line="240" w:before="0" w:after="0"/>
        <w:ind w:firstLine="660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  <w:t>Исследование выполнено при финансовой поддержке Минобрнауки России (Соглашение № 075-15-2021-1363).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 w:bidi="ar"/>
        </w:rPr>
      </w:r>
    </w:p>
    <w:p>
      <w:pPr>
        <w:pStyle w:val="Normal"/>
        <w:spacing w:lineRule="auto" w:line="240" w:before="0" w:after="0"/>
        <w:ind w:firstLine="661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Литература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 G.M. Torres, R. Frauenlob, R. Frankeb, A. Börner. Catal. Sci. Technol., 2015, 5, 34-54.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 D.N.Gorbunov, M.V. Nenasheva, M.V. Terenina, Yu.S. Kardasheva, E.R. Naranov, A.L. Bugaev, A.V. Soldatov, A.L. Maximov, S. Tilloy, E. Monflier, E.A. Karakhanov. Applied Catalysis A: General, 647 (2022), 118891.</w:t>
      </w:r>
    </w:p>
    <w:sectPr>
      <w:type w:val="nextPage"/>
      <w:pgSz w:w="11906" w:h="16838"/>
      <w:pgMar w:left="1361" w:right="136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</w:pPr>
    <w:rPr>
      <w:rFonts w:ascii="Calibri" w:hAnsi="Calibri" w:eastAsia="SimSun;宋体" w:cs="Calibri"/>
      <w:color w:val="auto"/>
      <w:sz w:val="20"/>
      <w:szCs w:val="20"/>
      <w:lang w:val="en-US" w:eastAsia="zh-CN" w:bidi="ar-SA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;Times New Roman" w:hAnsi="Liberation Serif;Times New Roman" w:eastAsia="Droid Sans Fallback" w:cs="Droid Sans Devanagari;Times New Roman"/>
      <w:b/>
      <w:bCs/>
      <w:sz w:val="24"/>
      <w:szCs w:val="24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Source Han Sans CN" w:cs="Droid Sans Devanagari;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;Times New Roman"/>
    </w:rPr>
  </w:style>
  <w:style w:type="paragraph" w:styleId="Style14">
    <w:name w:val="Название объекта"/>
    <w:basedOn w:val="Normal"/>
    <w:qFormat/>
    <w:pPr>
      <w:suppressLineNumbers/>
      <w:spacing w:before="120" w:after="120"/>
    </w:pPr>
    <w:rPr>
      <w:rFonts w:cs="Droid Sans Devanagari;Times New Roman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Droid Sans Devanagari;Times New Roman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ovoy.vanya@mail.ru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LibreOffice/7.4.5.1$Linux_X86_64 LibreOffice_project/40$Build-1</Application>
  <AppVersion>15.0000</AppVersion>
  <Pages>1</Pages>
  <Words>306</Words>
  <Characters>2351</Characters>
  <CharactersWithSpaces>2648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2023-02-15T17:07:00Z</dcterms:created>
  <dc:creator>ivbor</dc:creator>
  <dc:description/>
  <cp:keywords/>
  <dc:language>en-US</dc:language>
  <cp:lastModifiedBy>Пользователь Windows</cp:lastModifiedBy>
  <dcterms:modified xsi:type="dcterms:W3CDTF">2023-02-15T17:07:00Z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1033-11.1.0.10161_x0000__x0000_</vt:lpwstr>
  </property>
</Properties>
</file>