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BD0" w:rsidRPr="00926F6B" w:rsidRDefault="00F138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Влияние силы тока и концентрации электролита на процесс гальваностатического окисления графита в азотной кислоте</w:t>
      </w:r>
    </w:p>
    <w:bookmarkEnd w:id="0"/>
    <w:p w:rsidR="00747BD0" w:rsidRDefault="00934AC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Камаев А.О</w:t>
      </w:r>
      <w:r w:rsidR="00526E1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</w:p>
    <w:p w:rsidR="00747BD0" w:rsidRDefault="00006D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Московский государственный университет имени М.В.</w:t>
      </w:r>
      <w:r w:rsidR="005C40E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Ломоносова, </w:t>
      </w:r>
    </w:p>
    <w:p w:rsidR="00747BD0" w:rsidRDefault="00F52D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химический</w:t>
      </w:r>
      <w:r w:rsidR="00006DF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факультет, Москва, Россия</w:t>
      </w:r>
    </w:p>
    <w:p w:rsidR="00747BD0" w:rsidRPr="005C40E3" w:rsidRDefault="00006D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5D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E</w:t>
      </w:r>
      <w:r w:rsidRPr="005C40E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–</w:t>
      </w:r>
      <w:r w:rsidRPr="00C205D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mail</w:t>
      </w:r>
      <w:r w:rsidRPr="005C40E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: </w:t>
      </w:r>
      <w:r w:rsidR="00856CB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kamaevalexey</w:t>
      </w:r>
      <w:r w:rsidR="00856CB5" w:rsidRPr="00856CB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@</w:t>
      </w:r>
      <w:r w:rsidR="00856CB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gmail</w:t>
      </w:r>
      <w:r w:rsidR="00856CB5" w:rsidRPr="00856CB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r w:rsidR="00856CB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com</w:t>
      </w:r>
    </w:p>
    <w:p w:rsidR="001719EA" w:rsidRDefault="0034476A" w:rsidP="007E3AF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Оксид графита (ОГ) представляет собой слоистое соединение, состоящее из графеновых слоев, к которым присоединены различные функциональные группы: гидроксильные, карбоксильные и др. </w:t>
      </w:r>
      <w:r w:rsidR="00DC0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Уникальная структура ГО </w:t>
      </w:r>
      <w:r w:rsidR="00DC01C4" w:rsidRPr="00DC0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обуславливает его гидрофильное поведение, что позволяет использовать его в различных областях, таких как производство топливных </w:t>
      </w:r>
      <w:r w:rsidR="00DC01C4"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элементов [1], очистке воды [2</w:t>
      </w:r>
      <w:r w:rsidR="00DC01C4" w:rsidRPr="00DC01C4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  <w:r w:rsidR="00DC0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производстве сверхпрочных тонких пленок </w:t>
      </w:r>
      <w:r w:rsidR="00DC01C4" w:rsidRPr="00DC01C4"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r w:rsidR="00DC01C4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DC01C4" w:rsidRPr="00DC01C4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  <w:r w:rsidR="00DC01C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C01C4" w:rsidRPr="00DC0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719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сегодняшний день, большое количество работ посвящено электрохимическому способу получения оксида графита. Так, в литературе показано, что </w:t>
      </w:r>
      <w:r w:rsidR="007B72CD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получение ОГ возможно при электрохимическом окислении графита в различных кислотах. Наиболее распространенным электролитом на сегодняшний день является концентрированная серная кислота</w:t>
      </w:r>
      <w:r w:rsidR="00DC01C4" w:rsidRPr="00DC0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[4</w:t>
      </w:r>
      <w:r w:rsidR="00DC01C4">
        <w:rPr>
          <w:rFonts w:ascii="Times New Roman" w:eastAsia="Times New Roman" w:hAnsi="Times New Roman" w:cs="Times New Roman"/>
          <w:color w:val="000000"/>
          <w:sz w:val="24"/>
          <w:szCs w:val="24"/>
        </w:rPr>
        <w:t>, 5</w:t>
      </w:r>
      <w:r w:rsidR="00DC01C4" w:rsidRPr="00DC01C4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  <w:r w:rsidR="007B72CD">
        <w:rPr>
          <w:rFonts w:ascii="Times New Roman" w:eastAsia="Times New Roman" w:hAnsi="Times New Roman" w:cs="Times New Roman"/>
          <w:color w:val="000000"/>
          <w:sz w:val="24"/>
          <w:szCs w:val="24"/>
        </w:rPr>
        <w:t>. Тем не менее, в литературе показано, что синтез возможен и в азотной кислоте</w:t>
      </w:r>
      <w:r w:rsidR="00DC01C4" w:rsidRPr="00DC0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[</w:t>
      </w:r>
      <w:r w:rsidR="00DC0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6, </w:t>
      </w:r>
      <w:r w:rsidR="00DC01C4" w:rsidRPr="00DC01C4">
        <w:rPr>
          <w:rFonts w:ascii="Times New Roman" w:eastAsia="Times New Roman" w:hAnsi="Times New Roman" w:cs="Times New Roman"/>
          <w:color w:val="000000"/>
          <w:sz w:val="24"/>
          <w:szCs w:val="24"/>
        </w:rPr>
        <w:t>7]</w:t>
      </w:r>
      <w:r w:rsidR="007B72CD">
        <w:rPr>
          <w:rFonts w:ascii="Times New Roman" w:eastAsia="Times New Roman" w:hAnsi="Times New Roman" w:cs="Times New Roman"/>
          <w:color w:val="000000"/>
          <w:sz w:val="24"/>
          <w:szCs w:val="24"/>
        </w:rPr>
        <w:t>. Однако, в таком случае, получаемый продукт оказывается загрязненным исходным графитом.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Варьирование различных параметров, таких как концентрация электролита или плотность пропускаемого электричества, может помочь решить эту проблему. </w:t>
      </w:r>
      <w:r w:rsidR="001719EA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 образом, целью работы был поиск условий, в которых окисление графитовой матрицы происходит наиболее полно.</w:t>
      </w:r>
    </w:p>
    <w:p w:rsidR="004E6C53" w:rsidRDefault="004818BF" w:rsidP="007E3AF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0134"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 проводили в трехэлектродной ячейке с каломельным электродом сравнения. В качестве рабочего</w:t>
      </w:r>
      <w:r w:rsidR="00891A05" w:rsidRPr="006301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вспомогательного электродов</w:t>
      </w:r>
      <w:r w:rsidRPr="006301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выступал</w:t>
      </w:r>
      <w:r w:rsidR="00891A05" w:rsidRPr="0063013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301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91A05" w:rsidRPr="00630134">
        <w:rPr>
          <w:rFonts w:ascii="Times New Roman" w:eastAsia="Times New Roman" w:hAnsi="Times New Roman" w:cs="Times New Roman"/>
          <w:color w:val="000000"/>
          <w:sz w:val="24"/>
          <w:szCs w:val="24"/>
        </w:rPr>
        <w:t>тонкая графитовая бумага толщиной</w:t>
      </w:r>
      <w:r w:rsidRPr="006301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17 мкм и массой около </w:t>
      </w:r>
      <w:r w:rsidR="00891A05" w:rsidRPr="00630134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6301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мг.</w:t>
      </w:r>
      <w:r w:rsidR="00891A05" w:rsidRPr="006301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ходе синтеза варьировалась плотность тока (от 0,5 до 50 мА/см</w:t>
      </w:r>
      <w:r w:rsidR="00891A05" w:rsidRPr="0063013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891A05" w:rsidRPr="0063013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6301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Электролитом выступала </w:t>
      </w:r>
      <w:r w:rsidR="00891A05" w:rsidRPr="0063013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30134">
        <w:rPr>
          <w:rFonts w:ascii="Times New Roman" w:eastAsia="Times New Roman" w:hAnsi="Times New Roman" w:cs="Times New Roman"/>
          <w:color w:val="000000"/>
          <w:sz w:val="24"/>
          <w:szCs w:val="24"/>
        </w:rPr>
        <w:t>зотная кислота</w:t>
      </w:r>
      <w:r w:rsidR="00891A05" w:rsidRPr="006301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концентрацией от 10 до 65 масс.%</w:t>
      </w:r>
      <w:r w:rsidRPr="006301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Полученные образцы исследовались методами рентгенофазового анализа, </w:t>
      </w:r>
      <w:r w:rsidR="00891A05" w:rsidRPr="0063013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A26B9" w:rsidRPr="00630134">
        <w:rPr>
          <w:rFonts w:ascii="Times New Roman" w:eastAsia="Times New Roman" w:hAnsi="Times New Roman" w:cs="Times New Roman"/>
          <w:color w:val="000000"/>
          <w:sz w:val="24"/>
          <w:szCs w:val="24"/>
        </w:rPr>
        <w:t>пектроскопии комбинационного рассеяния</w:t>
      </w:r>
      <w:r w:rsidR="00446A4C" w:rsidRPr="006301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(КР)</w:t>
      </w:r>
      <w:r w:rsidR="00F138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91A05">
        <w:rPr>
          <w:rFonts w:ascii="Times New Roman" w:eastAsia="Times New Roman" w:hAnsi="Times New Roman" w:cs="Times New Roman"/>
          <w:color w:val="000000"/>
          <w:sz w:val="24"/>
          <w:szCs w:val="24"/>
        </w:rPr>
        <w:t>а также энергодисперсионной рентгеновской спектроскопии.</w:t>
      </w:r>
    </w:p>
    <w:p w:rsidR="00891A05" w:rsidRDefault="00891A05" w:rsidP="007E3AF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ре</w:t>
      </w:r>
      <w:r w:rsidR="00630134">
        <w:rPr>
          <w:rFonts w:ascii="Times New Roman" w:eastAsia="Times New Roman" w:hAnsi="Times New Roman" w:cs="Times New Roman"/>
          <w:color w:val="000000"/>
          <w:sz w:val="24"/>
          <w:szCs w:val="24"/>
        </w:rPr>
        <w:t>зультате работы выяснилось, что увеличение плотности тока приводит к сильной аморфизации получаемого продукта. При этом количество электричества, необходимого для окончания процесса переокисления графитовой матрицы, растет, что связано с протеканием различных побочных реакций, таких как разложение элетролита. С другой стороны, при малых токах (0,5 мА/см</w:t>
      </w:r>
      <w:r w:rsidR="00630134" w:rsidRPr="0063013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630134">
        <w:rPr>
          <w:rFonts w:ascii="Times New Roman" w:eastAsia="Times New Roman" w:hAnsi="Times New Roman" w:cs="Times New Roman"/>
          <w:color w:val="000000"/>
          <w:sz w:val="24"/>
          <w:szCs w:val="24"/>
        </w:rPr>
        <w:t>), переокисления графита практически не происходит, и реакция останавливается на стадии интеркалирования</w:t>
      </w:r>
      <w:r w:rsidR="001719E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30134" w:rsidRDefault="00630134" w:rsidP="007E3AF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Также было выяснено, что процесс образования интеркалированных </w:t>
      </w:r>
      <w:r w:rsidR="00F56D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соединений </w:t>
      </w:r>
      <w:r w:rsidR="00720694"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графита (ИСГ) является необходимым для полного окисления графитовой матрицы. Показано, что образование ИСГ происходит в электролитах с концентрацией азотной кислоты больше 50 масс.%. При у</w:t>
      </w:r>
      <w:r w:rsidR="001719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меньшении концентрации электролита, в продукте остаются неокисленные графитовые домены, что было подтверждено при помощи рентгенофазового анализа. </w:t>
      </w:r>
    </w:p>
    <w:p w:rsidR="00747BD0" w:rsidRPr="004818BF" w:rsidRDefault="00006D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Литература</w:t>
      </w:r>
    </w:p>
    <w:p w:rsidR="00DC01C4" w:rsidRPr="00DC01C4" w:rsidRDefault="00DC01C4" w:rsidP="00516347">
      <w:pPr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C01C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Chen, J., Perez-Page, M., Ji, Z., Zhang, Z., Guo, Z., Holmes, S. </w:t>
      </w:r>
      <w:proofErr w:type="gramStart"/>
      <w:r w:rsidRPr="00DC01C4">
        <w:rPr>
          <w:rFonts w:ascii="Times New Roman" w:eastAsia="Times New Roman" w:hAnsi="Times New Roman" w:cs="Times New Roman"/>
          <w:sz w:val="24"/>
          <w:szCs w:val="24"/>
          <w:lang w:val="en-US"/>
        </w:rPr>
        <w:t>One step</w:t>
      </w:r>
      <w:proofErr w:type="gramEnd"/>
      <w:r w:rsidRPr="00DC01C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electrochemical exfoliation of natural graphite flakes into graphene oxide for polybenzimidazole composite membranes giving enhanced performance in high temperature fuel cells.</w:t>
      </w:r>
      <w:r w:rsidR="00B9343C" w:rsidRPr="0051634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//</w:t>
      </w:r>
      <w:r w:rsidRPr="00DC01C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C01C4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Journal of Power Sources</w:t>
      </w:r>
      <w:r w:rsidR="00B9343C" w:rsidRPr="00516347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. 2021.</w:t>
      </w:r>
      <w:r w:rsidRPr="00DC01C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B9343C" w:rsidRPr="0051634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V. </w:t>
      </w:r>
      <w:r w:rsidRPr="00DC01C4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491</w:t>
      </w:r>
      <w:r w:rsidR="00B9343C" w:rsidRPr="00516347">
        <w:rPr>
          <w:rFonts w:ascii="Times New Roman" w:eastAsia="Times New Roman" w:hAnsi="Times New Roman" w:cs="Times New Roman"/>
          <w:sz w:val="24"/>
          <w:szCs w:val="24"/>
          <w:lang w:val="en-US"/>
        </w:rPr>
        <w:t>, 229550.</w:t>
      </w:r>
    </w:p>
    <w:p w:rsidR="00B9343C" w:rsidRPr="00516347" w:rsidRDefault="00B9343C" w:rsidP="00516347">
      <w:pPr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9343C">
        <w:rPr>
          <w:rFonts w:ascii="Times New Roman" w:eastAsia="Times New Roman" w:hAnsi="Times New Roman" w:cs="Times New Roman"/>
          <w:sz w:val="24"/>
          <w:szCs w:val="24"/>
          <w:lang w:val="en-US"/>
        </w:rPr>
        <w:t>Khaliha, S., Bianchi, A., Kovtun, A., Tunioli, F., Boschi, A., Zambianchi, M., Paci, D., Bocchi, L., Valsecchi, S., Polesello, S., Liscio, A., Bergamini, M., Brunetti, M., Luis</w:t>
      </w:r>
      <w:r w:rsidRPr="0051634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Navacchia, M., Palermo, V., </w:t>
      </w:r>
      <w:r w:rsidRPr="00B9343C">
        <w:rPr>
          <w:rFonts w:ascii="Times New Roman" w:eastAsia="Times New Roman" w:hAnsi="Times New Roman" w:cs="Times New Roman"/>
          <w:sz w:val="24"/>
          <w:szCs w:val="24"/>
          <w:lang w:val="en-US"/>
        </w:rPr>
        <w:t>Melucci, M.</w:t>
      </w:r>
      <w:r w:rsidRPr="0051634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9343C">
        <w:rPr>
          <w:rFonts w:ascii="Times New Roman" w:eastAsia="Times New Roman" w:hAnsi="Times New Roman" w:cs="Times New Roman"/>
          <w:sz w:val="24"/>
          <w:szCs w:val="24"/>
          <w:lang w:val="en-US"/>
        </w:rPr>
        <w:t>Graphene oxide nanosheets for drinking water purification by tandem adsorption and microfiltration.</w:t>
      </w:r>
      <w:r w:rsidRPr="0051634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//</w:t>
      </w:r>
      <w:r w:rsidRPr="00B934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9343C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Separation and Purification Technology</w:t>
      </w:r>
      <w:r w:rsidRPr="00516347">
        <w:rPr>
          <w:rFonts w:ascii="Times New Roman" w:eastAsia="Times New Roman" w:hAnsi="Times New Roman" w:cs="Times New Roman"/>
          <w:sz w:val="24"/>
          <w:szCs w:val="24"/>
          <w:lang w:val="en-US"/>
        </w:rPr>
        <w:t>. 2022.</w:t>
      </w:r>
      <w:r w:rsidRPr="00B934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1634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V. </w:t>
      </w:r>
      <w:r w:rsidRPr="00B9343C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300</w:t>
      </w:r>
      <w:r w:rsidRPr="00516347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B934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121826. </w:t>
      </w:r>
    </w:p>
    <w:p w:rsidR="00B9343C" w:rsidRPr="00516347" w:rsidRDefault="00B9343C" w:rsidP="00516347">
      <w:pPr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9343C">
        <w:rPr>
          <w:rFonts w:ascii="Times New Roman" w:eastAsia="Times New Roman" w:hAnsi="Times New Roman" w:cs="Times New Roman"/>
          <w:sz w:val="24"/>
          <w:szCs w:val="24"/>
          <w:lang w:val="en-US"/>
        </w:rPr>
        <w:t>Wang, S., Sun, X., Xu, F</w:t>
      </w:r>
      <w:r w:rsidRPr="0051634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., Yang, M., Yin, W., Li, J., Li, Y. </w:t>
      </w:r>
      <w:r w:rsidRPr="00B9343C">
        <w:rPr>
          <w:rFonts w:ascii="Times New Roman" w:eastAsia="Times New Roman" w:hAnsi="Times New Roman" w:cs="Times New Roman"/>
          <w:sz w:val="24"/>
          <w:szCs w:val="24"/>
          <w:lang w:val="en-US"/>
        </w:rPr>
        <w:t>Strong yet tough graphene/graphene oxide hybrid films.</w:t>
      </w:r>
      <w:r w:rsidRPr="0051634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//</w:t>
      </w:r>
      <w:r w:rsidRPr="00B934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9343C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Carbon</w:t>
      </w:r>
      <w:r w:rsidRPr="00516347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. 2021.</w:t>
      </w:r>
      <w:r w:rsidRPr="00B934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1634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V. </w:t>
      </w:r>
      <w:r w:rsidRPr="00B9343C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179</w:t>
      </w:r>
      <w:r w:rsidRPr="00516347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.</w:t>
      </w:r>
      <w:r w:rsidRPr="00B934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1634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P. </w:t>
      </w:r>
      <w:r w:rsidRPr="00B934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469–476. </w:t>
      </w:r>
    </w:p>
    <w:p w:rsidR="00DC01C4" w:rsidRPr="00516347" w:rsidRDefault="00DC01C4" w:rsidP="00516347">
      <w:pPr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16347">
        <w:rPr>
          <w:rFonts w:ascii="Times New Roman" w:hAnsi="Times New Roman" w:cs="Times New Roman"/>
          <w:sz w:val="24"/>
          <w:szCs w:val="24"/>
          <w:lang w:val="en-US"/>
        </w:rPr>
        <w:lastRenderedPageBreak/>
        <w:t>Gurzęda B.</w:t>
      </w:r>
      <w:r w:rsidR="00516347" w:rsidRPr="0051634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516347">
        <w:rPr>
          <w:rFonts w:ascii="Times New Roman" w:hAnsi="Times New Roman" w:cs="Times New Roman"/>
          <w:sz w:val="24"/>
          <w:szCs w:val="24"/>
          <w:lang w:val="en-US"/>
        </w:rPr>
        <w:t xml:space="preserve"> Buchwald T.</w:t>
      </w:r>
      <w:r w:rsidR="00516347" w:rsidRPr="0051634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516347">
        <w:rPr>
          <w:rFonts w:ascii="Times New Roman" w:hAnsi="Times New Roman" w:cs="Times New Roman"/>
          <w:sz w:val="24"/>
          <w:szCs w:val="24"/>
          <w:lang w:val="en-US"/>
        </w:rPr>
        <w:t xml:space="preserve"> Nocuń M.</w:t>
      </w:r>
      <w:r w:rsidR="00516347" w:rsidRPr="0051634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516347">
        <w:rPr>
          <w:rFonts w:ascii="Times New Roman" w:hAnsi="Times New Roman" w:cs="Times New Roman"/>
          <w:sz w:val="24"/>
          <w:szCs w:val="24"/>
          <w:lang w:val="en-US"/>
        </w:rPr>
        <w:t xml:space="preserve"> Ba̧kowicz A.</w:t>
      </w:r>
      <w:r w:rsidR="00516347" w:rsidRPr="0051634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516347">
        <w:rPr>
          <w:rFonts w:ascii="Times New Roman" w:hAnsi="Times New Roman" w:cs="Times New Roman"/>
          <w:sz w:val="24"/>
          <w:szCs w:val="24"/>
          <w:lang w:val="en-US"/>
        </w:rPr>
        <w:t xml:space="preserve"> Krawczyk P. Graphene Material Preparation through Thermal Treatment of Graphite Oxide Electrochemically Synthesized in Aqueous Sulfuric Acid.</w:t>
      </w:r>
      <w:r w:rsidR="00516347" w:rsidRPr="00516347">
        <w:rPr>
          <w:rFonts w:ascii="Times New Roman" w:hAnsi="Times New Roman" w:cs="Times New Roman"/>
          <w:sz w:val="24"/>
          <w:szCs w:val="24"/>
          <w:lang w:val="en-US"/>
        </w:rPr>
        <w:t xml:space="preserve"> //</w:t>
      </w:r>
      <w:r w:rsidRPr="00516347">
        <w:rPr>
          <w:rFonts w:ascii="Times New Roman" w:hAnsi="Times New Roman" w:cs="Times New Roman"/>
          <w:sz w:val="24"/>
          <w:szCs w:val="24"/>
          <w:lang w:val="en-US"/>
        </w:rPr>
        <w:t xml:space="preserve"> RSC Adv. 2017</w:t>
      </w:r>
      <w:r w:rsidR="00516347" w:rsidRPr="0051634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163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16347" w:rsidRPr="00516347">
        <w:rPr>
          <w:rFonts w:ascii="Times New Roman" w:hAnsi="Times New Roman" w:cs="Times New Roman"/>
          <w:sz w:val="24"/>
          <w:szCs w:val="24"/>
          <w:lang w:val="en-US"/>
        </w:rPr>
        <w:t xml:space="preserve">V. </w:t>
      </w:r>
      <w:r w:rsidRPr="00516347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516347" w:rsidRPr="0051634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163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16347" w:rsidRPr="00516347">
        <w:rPr>
          <w:rFonts w:ascii="Times New Roman" w:hAnsi="Times New Roman" w:cs="Times New Roman"/>
          <w:sz w:val="24"/>
          <w:szCs w:val="24"/>
          <w:lang w:val="en-US"/>
        </w:rPr>
        <w:t xml:space="preserve">P. </w:t>
      </w:r>
      <w:r w:rsidRPr="00516347">
        <w:rPr>
          <w:rFonts w:ascii="Times New Roman" w:hAnsi="Times New Roman" w:cs="Times New Roman"/>
          <w:sz w:val="24"/>
          <w:szCs w:val="24"/>
          <w:lang w:val="en-US"/>
        </w:rPr>
        <w:t>19904−19911</w:t>
      </w:r>
      <w:r w:rsidR="00516347" w:rsidRPr="0051634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9343C" w:rsidRPr="00516347" w:rsidRDefault="00B9343C" w:rsidP="0051634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1634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Pei, S., Wei, Q., Huang, K.</w:t>
      </w:r>
      <w:r w:rsidR="00516347" w:rsidRPr="0051634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, Cheng H-M., Ren W.</w:t>
      </w:r>
      <w:r w:rsidRPr="0051634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 Green synthesis of graphene oxide by seconds timescale water electrolytic oxidation.</w:t>
      </w:r>
      <w:r w:rsidR="00516347" w:rsidRPr="0051634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//</w:t>
      </w:r>
      <w:r w:rsidRPr="0051634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 </w:t>
      </w:r>
      <w:r w:rsidRPr="00516347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  <w:lang w:val="en-US"/>
        </w:rPr>
        <w:t>Nat Commun</w:t>
      </w:r>
      <w:r w:rsidRPr="0051634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 </w:t>
      </w:r>
      <w:r w:rsidRPr="0051634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en-US"/>
        </w:rPr>
        <w:t>9</w:t>
      </w:r>
      <w:r w:rsidR="00516347" w:rsidRPr="0051634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. 2018.</w:t>
      </w:r>
      <w:r w:rsidRPr="0051634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516347" w:rsidRPr="0051634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V. </w:t>
      </w:r>
      <w:r w:rsidRPr="0051634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145</w:t>
      </w:r>
      <w:r w:rsidR="00516347" w:rsidRPr="0051634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.</w:t>
      </w:r>
      <w:r w:rsidRPr="005163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DC01C4" w:rsidRPr="00516347" w:rsidRDefault="00DC01C4" w:rsidP="0051634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163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Gurzeda B., Krawczyk P. Potential oscillations affected by the electrochemical overoxidation of graphite in aqueous nitric acid. // Electrochimica Acta. 2018. V. 267. P. 102-109.</w:t>
      </w:r>
    </w:p>
    <w:p w:rsidR="00DC01C4" w:rsidRPr="00516347" w:rsidRDefault="00DC01C4" w:rsidP="0051634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163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Avdeev V.V., Tverezovskaya O.A., Sorokina N.E.</w:t>
      </w:r>
      <w:r w:rsidRPr="005163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63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Spontaneous and Electrochemical Intercalation of HNO</w:t>
      </w:r>
      <w:r w:rsidRPr="0051634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3</w:t>
      </w:r>
      <w:r w:rsidRPr="005163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into Graphite. // Molecular Crystals and Liquid Crystals Science and Technology. Section A. Molecular Crystals and Liquid Crystals // 2000. V. 340. P. 137-142.</w:t>
      </w:r>
    </w:p>
    <w:p w:rsidR="00DC01C4" w:rsidRPr="00292191" w:rsidRDefault="00DC01C4" w:rsidP="002921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sectPr w:rsidR="00DC01C4" w:rsidRPr="00292191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E61D5"/>
    <w:multiLevelType w:val="hybridMultilevel"/>
    <w:tmpl w:val="1A08FF34"/>
    <w:lvl w:ilvl="0" w:tplc="3D041F9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13376"/>
    <w:multiLevelType w:val="hybridMultilevel"/>
    <w:tmpl w:val="BA32A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775400"/>
    <w:multiLevelType w:val="hybridMultilevel"/>
    <w:tmpl w:val="AA2A980E"/>
    <w:lvl w:ilvl="0" w:tplc="DE1439DA">
      <w:start w:val="1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BD0"/>
    <w:rsid w:val="000054C0"/>
    <w:rsid w:val="00006DF3"/>
    <w:rsid w:val="00060C88"/>
    <w:rsid w:val="0016107B"/>
    <w:rsid w:val="001719EA"/>
    <w:rsid w:val="002050A7"/>
    <w:rsid w:val="00212C13"/>
    <w:rsid w:val="0021341B"/>
    <w:rsid w:val="0023250C"/>
    <w:rsid w:val="00292191"/>
    <w:rsid w:val="0031034F"/>
    <w:rsid w:val="0034476A"/>
    <w:rsid w:val="00351CC6"/>
    <w:rsid w:val="00354862"/>
    <w:rsid w:val="003900E8"/>
    <w:rsid w:val="00415BED"/>
    <w:rsid w:val="00421538"/>
    <w:rsid w:val="00446A4C"/>
    <w:rsid w:val="004818BF"/>
    <w:rsid w:val="004E6C53"/>
    <w:rsid w:val="00501346"/>
    <w:rsid w:val="00516347"/>
    <w:rsid w:val="00526E13"/>
    <w:rsid w:val="00572457"/>
    <w:rsid w:val="00576E9B"/>
    <w:rsid w:val="005862F9"/>
    <w:rsid w:val="005B7352"/>
    <w:rsid w:val="005C40E3"/>
    <w:rsid w:val="005C7DAF"/>
    <w:rsid w:val="00630134"/>
    <w:rsid w:val="006538C9"/>
    <w:rsid w:val="00720694"/>
    <w:rsid w:val="007320DD"/>
    <w:rsid w:val="00747BD0"/>
    <w:rsid w:val="00780F49"/>
    <w:rsid w:val="00786C40"/>
    <w:rsid w:val="00787672"/>
    <w:rsid w:val="007A26B9"/>
    <w:rsid w:val="007B72CD"/>
    <w:rsid w:val="007E3AF4"/>
    <w:rsid w:val="00821FA0"/>
    <w:rsid w:val="00856CB5"/>
    <w:rsid w:val="00891A05"/>
    <w:rsid w:val="00926F6B"/>
    <w:rsid w:val="0093085D"/>
    <w:rsid w:val="00934ACD"/>
    <w:rsid w:val="00A13AD8"/>
    <w:rsid w:val="00A16849"/>
    <w:rsid w:val="00A66FA9"/>
    <w:rsid w:val="00A71B21"/>
    <w:rsid w:val="00AC13B7"/>
    <w:rsid w:val="00B06FE4"/>
    <w:rsid w:val="00B134EE"/>
    <w:rsid w:val="00B23367"/>
    <w:rsid w:val="00B25F4D"/>
    <w:rsid w:val="00B50878"/>
    <w:rsid w:val="00B553D2"/>
    <w:rsid w:val="00B9343C"/>
    <w:rsid w:val="00BD106D"/>
    <w:rsid w:val="00BD57E1"/>
    <w:rsid w:val="00C205DB"/>
    <w:rsid w:val="00C240E4"/>
    <w:rsid w:val="00C8382F"/>
    <w:rsid w:val="00C840ED"/>
    <w:rsid w:val="00C86877"/>
    <w:rsid w:val="00CA5FFF"/>
    <w:rsid w:val="00D51910"/>
    <w:rsid w:val="00DB0B9A"/>
    <w:rsid w:val="00DC01C4"/>
    <w:rsid w:val="00DC7F6D"/>
    <w:rsid w:val="00DF2938"/>
    <w:rsid w:val="00E735DA"/>
    <w:rsid w:val="00F138A0"/>
    <w:rsid w:val="00F52D21"/>
    <w:rsid w:val="00F56D09"/>
    <w:rsid w:val="00F84157"/>
    <w:rsid w:val="00FB7A73"/>
    <w:rsid w:val="00FE1B2F"/>
    <w:rsid w:val="00FE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A659AC-1948-4CE0-958B-5F399698B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Название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uiPriority w:val="99"/>
    <w:unhideWhenUsed/>
    <w:rsid w:val="00F52D2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C01C4"/>
    <w:pPr>
      <w:spacing w:after="160" w:line="259" w:lineRule="auto"/>
      <w:ind w:left="720"/>
      <w:contextualSpacing/>
    </w:pPr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0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0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3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597E8-C11A-4B1E-8952-1288E1D35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Алексей Камаев</cp:lastModifiedBy>
  <cp:revision>2</cp:revision>
  <dcterms:created xsi:type="dcterms:W3CDTF">2023-02-16T19:38:00Z</dcterms:created>
  <dcterms:modified xsi:type="dcterms:W3CDTF">2023-02-16T19:38:00Z</dcterms:modified>
</cp:coreProperties>
</file>