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Глобализация экономики активизирует процессы формирования интеграционных объединений, которые позволяют максимально использовать преимущества международного разделения труда, обеспечивать положительную динамику макроэкономических показателей, нивелировать </w:t>
      </w:r>
      <w:r>
        <w:rPr>
          <w:rFonts w:ascii="Times New Roman" w:hAnsi="Times New Roman"/>
        </w:rPr>
        <w:t xml:space="preserve">негативные последствия ухудшения общей экономической ситуации.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развитой формой интеграции является экономический союз, предусматривающий беспрепятственное перемещение товаров, услуг, капиталов, рабочей силы между странами на базе согласования осн</w:t>
      </w:r>
      <w:r>
        <w:rPr>
          <w:rFonts w:ascii="Times New Roman" w:hAnsi="Times New Roman"/>
        </w:rPr>
        <w:t>овных направлений экономической политики. Важной составляющей координации экономической политики является разработка общей концепции, принципов и методов регулирования внешнеторговой деятельности. Правила перемещения товаров между странами регламентируются</w:t>
      </w:r>
      <w:r>
        <w:rPr>
          <w:rFonts w:ascii="Times New Roman" w:hAnsi="Times New Roman"/>
        </w:rPr>
        <w:t xml:space="preserve"> таможенным законодательством государства, но при образовании экономического союза производится согласование норм таможенного законодательства, вырабатываются общие требования для стран, входящих в интеграционное объединение.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Евразийского экономи</w:t>
      </w:r>
      <w:r>
        <w:rPr>
          <w:rFonts w:ascii="Times New Roman" w:hAnsi="Times New Roman"/>
        </w:rPr>
        <w:t>ческого союза (ЕАЭС) обусловило необходимость упорядочения внешнеторгового законодательства и разработки документов, регламентирующих вопросы регулирования внешнеторговой деятельности на межгосударственном уровне. Для этого был принят пакет документов, уст</w:t>
      </w:r>
      <w:r>
        <w:rPr>
          <w:rFonts w:ascii="Times New Roman" w:hAnsi="Times New Roman"/>
        </w:rPr>
        <w:t>анавливающих ставки единого таможенного тарифа, правила определения таможенной стоимости товаров, единую товарную номенклатуру внешнеэкономической деятельности (ВЭД), особенности применения нетарифных методов государственного регулирования внешней торговли</w:t>
      </w:r>
      <w:r>
        <w:rPr>
          <w:rFonts w:ascii="Times New Roman" w:hAnsi="Times New Roman"/>
        </w:rPr>
        <w:t xml:space="preserve"> и т. п.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Одной из составляющих таможенно-тарифного регулирования является единая система тарифных преференций ЕАЭС, нормативно-правовая база которой основывается на документах Таможенного союза России, Белоруссии и Казахстана. Документы, регламентирующие </w:t>
      </w:r>
      <w:r>
        <w:rPr>
          <w:rFonts w:ascii="Times New Roman" w:hAnsi="Times New Roman"/>
        </w:rPr>
        <w:t xml:space="preserve">применение тарифных преференций в ЕАЭС, включают в себя: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Договор ЕАЭС;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Протокол о единой системе преференций Таможенного союза;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Перечни развивающихся и наименее развитых стран – пользователей системы тарифных преференций ЕАЭС;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Перечень товаров,</w:t>
      </w:r>
      <w:r>
        <w:rPr>
          <w:rFonts w:ascii="Times New Roman" w:hAnsi="Times New Roman"/>
        </w:rPr>
        <w:t xml:space="preserve"> происходящих и ввозимых из развивающихся и наименее развитых стран, при ввозе которых предоставляются тарифные преференции;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Соглашение о правилах определения страны происхождения товаров;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Положение об условиях и порядке применения единой системы тари</w:t>
      </w:r>
      <w:r>
        <w:rPr>
          <w:rFonts w:ascii="Times New Roman" w:hAnsi="Times New Roman"/>
        </w:rPr>
        <w:t xml:space="preserve">фных преференций Евразийского экономического союза (принято 06.04.2016 г., но не вступило в силу).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Тарифные преференции представляют собой таможенные льготы специфического характера, подразумевающие снижение или отмену таможенных пошлин на определенные то</w:t>
      </w:r>
      <w:r>
        <w:rPr>
          <w:rFonts w:ascii="Times New Roman" w:hAnsi="Times New Roman"/>
        </w:rPr>
        <w:t>вары, поступающие из стран, в отношении которых действует преференциальный режим[1].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последние два десятилетия увеличилось число соглашений о преференциальной торговле (ПТС), число действующих которых превысило 500 по состоянию на 2022 год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[2].</w:t>
      </w:r>
      <w:r>
        <w:rPr>
          <w:rFonts w:ascii="Times New Roman" w:hAnsi="Times New Roman"/>
          <w:color w:val="000000"/>
        </w:rPr>
        <w:t>. Правите</w:t>
      </w:r>
      <w:r>
        <w:rPr>
          <w:rFonts w:ascii="Times New Roman" w:hAnsi="Times New Roman"/>
          <w:color w:val="000000"/>
        </w:rPr>
        <w:t>льства рассматривают их как канал для содействия экономической интеграции и продвижения региональных производственно-сбытовых цепочек. Ключевой целью этих соглашений является снижение тарифных и нетарифных барьеров, налагаемых на экспорт другими участникам</w:t>
      </w:r>
      <w:r>
        <w:rPr>
          <w:rFonts w:ascii="Times New Roman" w:hAnsi="Times New Roman"/>
          <w:color w:val="000000"/>
        </w:rPr>
        <w:t>и соглашения. В случае соглашений о преференциальной торговле правительства предоставляют преференциальные тарифы наименее развитым и развивающимся странам на невзаимной основе, чтобы помочь эти страны достигают экономического развития за счет торговли. Эк</w:t>
      </w:r>
      <w:r>
        <w:rPr>
          <w:rFonts w:ascii="Times New Roman" w:hAnsi="Times New Roman"/>
          <w:color w:val="000000"/>
        </w:rPr>
        <w:t xml:space="preserve">ономия в результате льготных тарифов является одной из наиболее прямых и ощутимых выгод от ПТС. Однако многие </w:t>
      </w:r>
      <w:r>
        <w:rPr>
          <w:rFonts w:ascii="Times New Roman" w:hAnsi="Times New Roman"/>
          <w:color w:val="000000"/>
        </w:rPr>
        <w:t xml:space="preserve"> торговые партнеры</w:t>
      </w:r>
      <w:r>
        <w:rPr>
          <w:rFonts w:ascii="Times New Roman" w:hAnsi="Times New Roman"/>
          <w:color w:val="000000"/>
        </w:rPr>
        <w:t xml:space="preserve">, особенно микро-, малые и средние предприятия (ММСП), не пользуются льготными тарифами. Это происходит по ряду причин: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1) недо</w:t>
      </w:r>
      <w:r>
        <w:rPr>
          <w:rFonts w:ascii="Times New Roman" w:hAnsi="Times New Roman"/>
          <w:color w:val="000000"/>
        </w:rPr>
        <w:t>статок информации и осведомленности компаний о существующих торговых соглашениях;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2) невозможность проверить, распространяется ли на продукт льготные тарифы и какие критерии происхождения применяются;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незнание сопутствующих положений о происхождении</w:t>
      </w:r>
      <w:r>
        <w:rPr>
          <w:rFonts w:ascii="Times New Roman" w:hAnsi="Times New Roman"/>
          <w:color w:val="000000"/>
        </w:rPr>
        <w:t xml:space="preserve"> т</w:t>
      </w:r>
      <w:r>
        <w:rPr>
          <w:rFonts w:ascii="Times New Roman" w:hAnsi="Times New Roman"/>
          <w:color w:val="000000"/>
        </w:rPr>
        <w:t>оваров</w:t>
      </w:r>
      <w:r>
        <w:rPr>
          <w:rFonts w:ascii="Times New Roman" w:hAnsi="Times New Roman"/>
          <w:color w:val="000000"/>
        </w:rPr>
        <w:t xml:space="preserve">; 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отсутствие знание или неспособность соблюдать положения о сертификации. 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Бизнес-опросы ИТЦ по нетарифным мерам, проведенные в 38 развивающихся странах</w:t>
      </w:r>
      <w:r>
        <w:rPr>
          <w:rFonts w:ascii="Times New Roman" w:hAnsi="Times New Roman"/>
        </w:rPr>
        <w:t>[2]</w:t>
      </w:r>
      <w:r>
        <w:rPr>
          <w:rFonts w:ascii="Times New Roman" w:hAnsi="Times New Roman"/>
          <w:color w:val="000000"/>
        </w:rPr>
        <w:t xml:space="preserve"> выявили, что правила происхождения входят в число основных торговых препятствий, отмеченны</w:t>
      </w:r>
      <w:r>
        <w:rPr>
          <w:rFonts w:ascii="Times New Roman" w:hAnsi="Times New Roman"/>
          <w:color w:val="000000"/>
        </w:rPr>
        <w:t xml:space="preserve">х производственными предприятиями, наряду с оценками соответствия. Ответы бизнеса показали, что сложность правил происхождения приводит к процедурным препятствиям, возникающим при их внедрении. Правила происхождения необходимы для определения одной страны </w:t>
      </w:r>
      <w:r>
        <w:rPr>
          <w:rFonts w:ascii="Times New Roman" w:hAnsi="Times New Roman"/>
          <w:color w:val="000000"/>
        </w:rPr>
        <w:t>происхождения каждого продукта. Они являются критериями, используемыми для определения того, где был произведен продукт, и важны для введения льготных тарифов</w:t>
      </w:r>
      <w:r>
        <w:rPr>
          <w:rFonts w:ascii="Times New Roman" w:hAnsi="Times New Roman"/>
        </w:rPr>
        <w:t>[3]</w:t>
      </w:r>
      <w:r>
        <w:rPr>
          <w:rFonts w:ascii="Times New Roman" w:hAnsi="Times New Roman"/>
          <w:color w:val="000000"/>
        </w:rPr>
        <w:t>.</w:t>
      </w:r>
    </w:p>
    <w:p w:rsidR="00000000" w:rsidRDefault="00C72202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Критерии преференциального происхождения определяют, в какой момент продукт приобретает проис</w:t>
      </w:r>
      <w:r>
        <w:rPr>
          <w:rFonts w:ascii="Times New Roman" w:hAnsi="Times New Roman"/>
          <w:color w:val="000000"/>
        </w:rPr>
        <w:t>хождение страны, где он подвергается последней экономически значимой переработке.  Они могут отличаться от одного продукта к другому и принимать различные формы. 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Пересмотренная Киотская конвенция (ПКК) ВТО определяет два основных критерия определения прои</w:t>
      </w:r>
      <w:r>
        <w:rPr>
          <w:rFonts w:ascii="Times New Roman" w:hAnsi="Times New Roman"/>
          <w:color w:val="000000"/>
        </w:rPr>
        <w:t xml:space="preserve">схождения: критерий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полностью полученный или произведенный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и критерий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существенной трансформации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</w:rPr>
        <w:t>[4]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Другими словами, если продукт состоит из  материалов, поступающих из нескольких стран, он получает статус источника в стране, в которой осуществляется </w:t>
      </w:r>
      <w:r>
        <w:rPr>
          <w:rFonts w:ascii="Times New Roman" w:hAnsi="Times New Roman"/>
          <w:color w:val="000000"/>
        </w:rPr>
        <w:t>существенная переработка, что придает ему существенный характер. Существует несколько способов определить выполнение критерия ‘существенной трансформации’. К ним относятся правила, основанные на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изменении тарифной классификации, адвалорной процентной ставк</w:t>
      </w:r>
      <w:r>
        <w:rPr>
          <w:rFonts w:ascii="Times New Roman" w:hAnsi="Times New Roman"/>
          <w:color w:val="000000"/>
        </w:rPr>
        <w:t xml:space="preserve">е или 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перечне конкретных производственных или технологических операций. Эти три метода взаимозаменяемы, и каждый из них имеет определенные положительные и отрицательные стороны с точки зрения бизнеса. </w:t>
      </w:r>
      <w:r>
        <w:rPr>
          <w:rFonts w:ascii="Times New Roman" w:hAnsi="Times New Roman"/>
        </w:rPr>
        <w:t>Они могут применяться как по отдельности, так и в соче</w:t>
      </w:r>
      <w:r>
        <w:rPr>
          <w:rFonts w:ascii="Times New Roman" w:hAnsi="Times New Roman"/>
        </w:rPr>
        <w:t>тании.</w:t>
      </w:r>
    </w:p>
    <w:p w:rsidR="00000000" w:rsidRDefault="00C72202">
      <w:pPr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 xml:space="preserve">Таким образом, можно сделать вывод, что </w:t>
      </w:r>
      <w:r>
        <w:rPr>
          <w:rFonts w:ascii="Times New Roman" w:hAnsi="Times New Roman"/>
        </w:rPr>
        <w:t xml:space="preserve">в условиях внешнего санкционного давления со стороны ЕС и США </w:t>
      </w:r>
      <w:r>
        <w:rPr>
          <w:rFonts w:ascii="Times New Roman" w:hAnsi="Times New Roman"/>
        </w:rPr>
        <w:t>единая система тарифных преференций ЕАЭС приобретает вс</w:t>
      </w:r>
      <w:r>
        <w:rPr>
          <w:rFonts w:ascii="Times New Roman" w:hAnsi="Times New Roman"/>
        </w:rPr>
        <w:t>е большее значение в торговых отношениях с группой развивающихся и наименее развитых  стран.</w:t>
      </w:r>
      <w:r>
        <w:rPr>
          <w:rFonts w:ascii="Times New Roman" w:hAnsi="Times New Roman"/>
        </w:rPr>
        <w:t xml:space="preserve"> Тем не менее остаются не до конца решёнными </w:t>
      </w:r>
      <w:r>
        <w:rPr>
          <w:rFonts w:ascii="Times New Roman" w:hAnsi="Times New Roman"/>
        </w:rPr>
        <w:t xml:space="preserve"> такие как проблемы определения страны происхождения товара. </w:t>
      </w:r>
    </w:p>
    <w:p w:rsidR="00000000" w:rsidRDefault="00C7220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00000" w:rsidRDefault="00C7220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Список использованной литературы:</w:t>
      </w:r>
    </w:p>
    <w:p w:rsidR="00000000" w:rsidRDefault="00C7220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00000" w:rsidRDefault="00C72202">
      <w:pPr>
        <w:pStyle w:val="a5"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Татьяна Сергеевна, Холостякова Ксения Вадимовна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Тарифные преференции: институциональный аспект применени</w:t>
      </w:r>
      <w:r>
        <w:rPr>
          <w:rFonts w:ascii="Times New Roman" w:hAnsi="Times New Roman"/>
          <w:sz w:val="24"/>
          <w:szCs w:val="24"/>
        </w:rPr>
        <w:t>я // Общество: политика, экономика, право. 2016. №8.</w:t>
      </w:r>
    </w:p>
    <w:p w:rsidR="00000000" w:rsidRDefault="00C72202">
      <w:pPr>
        <w:pStyle w:val="a5"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NTM Business Surveys</w:t>
      </w:r>
      <w:r>
        <w:rPr>
          <w:rFonts w:ascii="Times New Roman" w:eastAsia="sans-serif" w:hAnsi="Times New Roman"/>
          <w:sz w:val="24"/>
          <w:szCs w:val="24"/>
          <w:shd w:val="clear" w:color="auto" w:fill="FFFFFF"/>
          <w:lang w:val="en-US"/>
        </w:rPr>
        <w:t>//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URL: https://ntmsurvey.intracen.org/home (дата обращения: </w:t>
      </w:r>
      <w:r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.2023г.)</w:t>
      </w:r>
    </w:p>
    <w:p w:rsidR="00000000" w:rsidRDefault="00C72202">
      <w:pPr>
        <w:pStyle w:val="a5"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World Tariff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Profiles 2016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val="en-US"/>
        </w:rPr>
        <w:t xml:space="preserve">// </w:t>
      </w:r>
      <w:r>
        <w:rPr>
          <w:rFonts w:ascii="Times New Roman" w:hAnsi="Times New Roman"/>
          <w:sz w:val="24"/>
          <w:szCs w:val="24"/>
        </w:rPr>
        <w:t>URL: https://www.wto.org/english/res_e/booksp_e/world_tariff_profiles22_e.pdf (</w:t>
      </w:r>
      <w:r>
        <w:rPr>
          <w:rFonts w:ascii="Times New Roman" w:hAnsi="Times New Roman"/>
          <w:sz w:val="24"/>
          <w:szCs w:val="24"/>
        </w:rPr>
        <w:t>дата обращения: 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.03.2023г.)</w:t>
      </w:r>
    </w:p>
    <w:p w:rsidR="00C72202" w:rsidRDefault="00C72202">
      <w:pPr>
        <w:pStyle w:val="a5"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конвенция об упрощении и гармонизации таможенных процедур от 18 мая 1973 года в редакции Брюссельского Протокола 1999 года: структура, принципы, стандарты и её значение для упрощения международной торговли : моно</w:t>
      </w:r>
      <w:r>
        <w:rPr>
          <w:rFonts w:ascii="Times New Roman" w:hAnsi="Times New Roman"/>
          <w:sz w:val="24"/>
          <w:szCs w:val="24"/>
        </w:rPr>
        <w:t>графия / [С.О. Шохин, А.Ю. Кожанков, О.Г. Боброва, А.В. Бондаренко, М.В. Миронова, О.В. Шишкина] , под ред. С.О. Шохина, А.Ю. Кожанкова ; Моск. гос. инт междунар. (ун-т) М-ва иностр. дел. Рос. Федерации, кафедра административного и финансового права, кафед</w:t>
      </w:r>
      <w:r>
        <w:rPr>
          <w:rFonts w:ascii="Times New Roman" w:hAnsi="Times New Roman"/>
          <w:sz w:val="24"/>
          <w:szCs w:val="24"/>
        </w:rPr>
        <w:t>ра торгового дела и торгового регулирования. – Москва: МГИМО-Университет, 2019. – 130</w:t>
      </w:r>
      <w:r>
        <w:rPr>
          <w:rFonts w:ascii="Times New Roman" w:hAnsi="Times New Roman"/>
          <w:sz w:val="24"/>
          <w:szCs w:val="24"/>
        </w:rPr>
        <w:t xml:space="preserve"> с.</w:t>
      </w:r>
    </w:p>
    <w:sectPr w:rsidR="00C72202">
      <w:pgSz w:w="11906" w:h="16838"/>
      <w:pgMar w:top="1134" w:right="1134" w:bottom="1134" w:left="113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7913"/>
    <w:multiLevelType w:val="singleLevel"/>
    <w:tmpl w:val="61D4791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0363A"/>
    <w:rsid w:val="00031C02"/>
    <w:rsid w:val="001775CC"/>
    <w:rsid w:val="002E2D77"/>
    <w:rsid w:val="005F6B20"/>
    <w:rsid w:val="006E5B97"/>
    <w:rsid w:val="007211CE"/>
    <w:rsid w:val="007E0DFB"/>
    <w:rsid w:val="00832073"/>
    <w:rsid w:val="00AF171F"/>
    <w:rsid w:val="00C56826"/>
    <w:rsid w:val="00C72202"/>
    <w:rsid w:val="00C9253D"/>
    <w:rsid w:val="00E26604"/>
    <w:rsid w:val="08B679C0"/>
    <w:rsid w:val="0DC8130F"/>
    <w:rsid w:val="0E6F6727"/>
    <w:rsid w:val="148D542D"/>
    <w:rsid w:val="17A600E3"/>
    <w:rsid w:val="23FE1D37"/>
    <w:rsid w:val="255B08F3"/>
    <w:rsid w:val="29F0363A"/>
    <w:rsid w:val="36F443D6"/>
    <w:rsid w:val="380D1430"/>
    <w:rsid w:val="38EF7A87"/>
    <w:rsid w:val="41335ED3"/>
    <w:rsid w:val="4D930988"/>
    <w:rsid w:val="5D756F25"/>
    <w:rsid w:val="66BA0299"/>
    <w:rsid w:val="6E4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footnote text"/>
    <w:basedOn w:val="a"/>
    <w:uiPriority w:val="99"/>
    <w:unhideWhenUsed/>
    <w:qFormat/>
    <w:pPr>
      <w:spacing w:before="0" w:after="0" w:line="240" w:lineRule="auto"/>
    </w:pPr>
    <w:rPr>
      <w:sz w:val="20"/>
      <w:szCs w:val="20"/>
    </w:rPr>
  </w:style>
  <w:style w:type="paragraph" w:styleId="a6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unhideWhenUsed/>
    <w:qFormat/>
    <w:pPr>
      <w:spacing w:line="240" w:lineRule="auto"/>
    </w:pPr>
    <w:rPr>
      <w:rFonts w:ascii="Times New Roman" w:hAnsi="Times New Roman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footnote text"/>
    <w:basedOn w:val="a"/>
    <w:uiPriority w:val="99"/>
    <w:unhideWhenUsed/>
    <w:qFormat/>
    <w:pPr>
      <w:spacing w:before="0" w:after="0" w:line="240" w:lineRule="auto"/>
    </w:pPr>
    <w:rPr>
      <w:sz w:val="20"/>
      <w:szCs w:val="20"/>
    </w:rPr>
  </w:style>
  <w:style w:type="paragraph" w:styleId="a6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unhideWhenUsed/>
    <w:qFormat/>
    <w:pPr>
      <w:spacing w:line="240" w:lineRule="auto"/>
    </w:pPr>
    <w:rPr>
      <w:rFonts w:ascii="Times New Roman" w:hAnsi="Times New Roman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Пименова</dc:creator>
  <cp:lastModifiedBy>1</cp:lastModifiedBy>
  <cp:revision>2</cp:revision>
  <dcterms:created xsi:type="dcterms:W3CDTF">2023-03-03T14:22:00Z</dcterms:created>
  <dcterms:modified xsi:type="dcterms:W3CDTF">2023-03-03T14:22:00Z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15B18788794B474CA7272D09C3E68070</vt:lpwstr>
  </property>
</Properties>
</file>