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F" w:rsidRPr="00A944AF" w:rsidRDefault="009E5D72" w:rsidP="00A944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D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F66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66F3">
        <w:rPr>
          <w:rFonts w:ascii="Times New Roman" w:hAnsi="Times New Roman" w:cs="Times New Roman"/>
          <w:sz w:val="28"/>
          <w:szCs w:val="28"/>
        </w:rPr>
        <w:t xml:space="preserve"> </w:t>
      </w:r>
      <w:r w:rsidRPr="0027070C">
        <w:rPr>
          <w:rFonts w:ascii="Times New Roman" w:hAnsi="Times New Roman"/>
          <w:sz w:val="28"/>
          <w:szCs w:val="28"/>
        </w:rPr>
        <w:t>от 30 декабря 2008 г. N 307-ФЗ «Об аудиторск</w:t>
      </w:r>
      <w:r w:rsidR="00C45EA4">
        <w:rPr>
          <w:rFonts w:ascii="Times New Roman" w:hAnsi="Times New Roman"/>
          <w:sz w:val="28"/>
          <w:szCs w:val="28"/>
        </w:rPr>
        <w:t xml:space="preserve">ой деятельности», </w:t>
      </w:r>
      <w:r w:rsidRPr="0027070C">
        <w:rPr>
          <w:rFonts w:ascii="Times New Roman" w:hAnsi="Times New Roman"/>
          <w:sz w:val="28"/>
          <w:szCs w:val="28"/>
        </w:rPr>
        <w:t>(с последними изменениями от 30.12.2021г. № 435-ФЗ)</w:t>
      </w:r>
      <w:r>
        <w:rPr>
          <w:rFonts w:ascii="Times New Roman" w:hAnsi="Times New Roman"/>
          <w:sz w:val="28"/>
          <w:szCs w:val="28"/>
        </w:rPr>
        <w:t xml:space="preserve">  отражено</w:t>
      </w:r>
      <w:r w:rsidR="003309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обязательная аудиторская проверка, является независимой проверкой бухгалтерской (финансовой) отчетности хозяйствующего субъекта, и проводится на обязательной основе, если </w:t>
      </w:r>
      <w:r w:rsidRPr="00A944A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этого субъекта попадает под утвержденные критерии.</w:t>
      </w:r>
      <w:r w:rsidR="00A94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4AF" w:rsidRPr="00A9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Обязательные а</w:t>
      </w:r>
      <w:r w:rsidR="00A9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удиторские проверки проводятся </w:t>
      </w:r>
      <w:r w:rsidR="00A944AF" w:rsidRPr="00A9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 основании</w:t>
      </w:r>
      <w:r w:rsidR="00A9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A944AF" w:rsidRPr="00A944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</w:t>
        </w:r>
        <w:r w:rsidR="00A944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закона </w:t>
        </w:r>
        <w:r w:rsidR="00A944AF" w:rsidRPr="00A944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 </w:t>
        </w:r>
        <w:r w:rsidR="00A944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A944AF" w:rsidRPr="00A944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30.12.2008</w:t>
        </w:r>
        <w:r w:rsidR="00A944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г. </w:t>
        </w:r>
        <w:r w:rsidR="00A944AF" w:rsidRPr="00A944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№ 307-ФЗ</w:t>
        </w:r>
      </w:hyperlink>
      <w:r w:rsidR="00A944AF" w:rsidRPr="00A9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9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44AF" w:rsidRPr="00A9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 аудиторской деятельности» и Федеральных стандартов аудиторской деятельности.</w:t>
      </w:r>
    </w:p>
    <w:p w:rsidR="008036C7" w:rsidRDefault="009E5D72" w:rsidP="00030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 критериями  обязательной аудиторской проверки</w:t>
      </w:r>
      <w:r w:rsidR="008036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несомненно</w:t>
      </w:r>
      <w:r w:rsidR="00A94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C45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EA4">
        <w:rPr>
          <w:rFonts w:ascii="Times New Roman" w:hAnsi="Times New Roman"/>
          <w:sz w:val="28"/>
          <w:szCs w:val="28"/>
        </w:rPr>
        <w:t>стоимост</w:t>
      </w:r>
      <w:r>
        <w:rPr>
          <w:rFonts w:ascii="Times New Roman" w:hAnsi="Times New Roman"/>
          <w:sz w:val="28"/>
          <w:szCs w:val="28"/>
        </w:rPr>
        <w:t>ной</w:t>
      </w:r>
      <w:proofErr w:type="gramEnd"/>
      <w:r>
        <w:rPr>
          <w:rFonts w:ascii="Times New Roman" w:hAnsi="Times New Roman"/>
          <w:sz w:val="28"/>
          <w:szCs w:val="28"/>
        </w:rPr>
        <w:t xml:space="preserve"> критерий и специфика деятельности</w:t>
      </w:r>
      <w:r w:rsidR="00A944AF">
        <w:rPr>
          <w:rFonts w:ascii="Times New Roman" w:hAnsi="Times New Roman"/>
          <w:sz w:val="28"/>
          <w:szCs w:val="28"/>
        </w:rPr>
        <w:t xml:space="preserve"> хозяйствующего субъекта</w:t>
      </w:r>
      <w:r>
        <w:rPr>
          <w:rFonts w:ascii="Times New Roman" w:hAnsi="Times New Roman"/>
          <w:sz w:val="28"/>
          <w:szCs w:val="28"/>
        </w:rPr>
        <w:t>.</w:t>
      </w:r>
      <w:r w:rsidR="00030379">
        <w:rPr>
          <w:rFonts w:ascii="Times New Roman" w:hAnsi="Times New Roman"/>
          <w:sz w:val="28"/>
          <w:szCs w:val="28"/>
        </w:rPr>
        <w:t xml:space="preserve"> </w:t>
      </w:r>
      <w:r w:rsidR="008036C7">
        <w:rPr>
          <w:rFonts w:ascii="Times New Roman" w:hAnsi="Times New Roman"/>
          <w:sz w:val="28"/>
          <w:szCs w:val="28"/>
        </w:rPr>
        <w:t>Так под обязательный аудит попадают:</w:t>
      </w:r>
    </w:p>
    <w:p w:rsid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застройщики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привлекающие денежные средства участников долевого строительства (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п. 5 ст. 3 Федерального закона от 30.12.2004 № 214-ФЗ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ГУПы</w:t>
      </w:r>
      <w:proofErr w:type="spellEnd"/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 </w:t>
      </w:r>
      <w:proofErr w:type="spellStart"/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МУПы</w:t>
      </w:r>
      <w:proofErr w:type="spellEnd"/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 решению собственников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п. 1 ст. 26 Федерального закона от 14.11.2002 № 161-ФЗ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6C7" w:rsidRP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банки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 группы и холдинги (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ст. 42 Федерального закона от 02.12.1990 № 395-1);</w:t>
      </w:r>
    </w:p>
    <w:p w:rsidR="008036C7" w:rsidRP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страховщики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ст. 29 Закона РФ от 27.11.1992 № 4015-1);</w:t>
      </w:r>
    </w:p>
    <w:p w:rsid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 </w:t>
      </w: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формирующие</w:t>
      </w:r>
      <w:r w:rsidR="00330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консолидированную </w:t>
      </w: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отчетность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ст. 5</w:t>
      </w:r>
      <w:r w:rsidR="003309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Федерального закона от 27.07.2010 № 208-ФЗ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 </w:t>
      </w: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ценные бумаги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которых </w:t>
      </w: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допущены к организованным торгам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также эмитенты эмиссионных ценных бумаг, обязанные раскрывать информацию (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Федеральным закон от 22.04.1996 № 39-ФЗ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 отчетности за 2021 год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являющиеся </w:t>
      </w: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профессиональными участниками рынка ценных бумаг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бюро кредитных историй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6C7" w:rsidRPr="008036C7" w:rsidRDefault="008036C7" w:rsidP="008036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фонды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 исключением государственного внебюджетного фонда, специализированной организации управления целевым капиталом </w:t>
      </w:r>
      <w:r w:rsidRPr="00803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 фонда, имеющего статус международного фонда</w:t>
      </w:r>
      <w:r w:rsidRPr="0080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если к ним </w:t>
      </w:r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 предшествующий отчетному период, пришло имущества больше, чем на 3 мл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80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уб.</w:t>
      </w:r>
    </w:p>
    <w:p w:rsidR="003309A3" w:rsidRDefault="003309A3" w:rsidP="00E82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Ну и каждый год подтверждать</w:t>
      </w:r>
      <w:r w:rsidR="00E827EC">
        <w:rPr>
          <w:rFonts w:ascii="Times New Roman" w:hAnsi="Times New Roman"/>
          <w:sz w:val="28"/>
          <w:szCs w:val="28"/>
        </w:rPr>
        <w:t xml:space="preserve"> обязательной аудиторской проверкой </w:t>
      </w:r>
      <w:r>
        <w:rPr>
          <w:rFonts w:ascii="Times New Roman" w:hAnsi="Times New Roman"/>
          <w:sz w:val="28"/>
          <w:szCs w:val="28"/>
        </w:rPr>
        <w:t xml:space="preserve"> достоверность данных бухгалтерской финансовой отчетности обязаны все хозяйствующие субъекты, кроме </w:t>
      </w:r>
      <w:r w:rsidRPr="00E325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органов власти, местного самоуправления, государственных и муниципальны</w:t>
      </w:r>
      <w:r w:rsidR="00E827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х учреждений, </w:t>
      </w:r>
      <w:proofErr w:type="spellStart"/>
      <w:r w:rsidR="00E827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ГУПов</w:t>
      </w:r>
      <w:proofErr w:type="spellEnd"/>
      <w:r w:rsidR="00E827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 </w:t>
      </w:r>
      <w:proofErr w:type="spellStart"/>
      <w:r w:rsidR="00E827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МУПов</w:t>
      </w:r>
      <w:proofErr w:type="spellEnd"/>
      <w:r w:rsidR="00E827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сельскохозяйственных </w:t>
      </w:r>
      <w:r w:rsidRPr="00E3253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кооперативов, организаций потребкооперации</w:t>
      </w:r>
      <w:r w:rsidR="00E827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если:</w:t>
      </w:r>
    </w:p>
    <w:p w:rsidR="00E827EC" w:rsidRDefault="00E827EC" w:rsidP="00E827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выручка от  реализации продукции (работ, услуг) более 800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E827EC" w:rsidRPr="00E827EC" w:rsidRDefault="00E827EC" w:rsidP="00E827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валюты  бухгалтерского баланса  (итог актива или пассива) на отчетную дату более 400 млн. руб.</w:t>
      </w:r>
    </w:p>
    <w:p w:rsidR="00A944AF" w:rsidRPr="00A944AF" w:rsidRDefault="00860143" w:rsidP="0086014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944AF" w:rsidRPr="00A944AF">
        <w:rPr>
          <w:color w:val="000000" w:themeColor="text1"/>
          <w:sz w:val="28"/>
          <w:szCs w:val="28"/>
        </w:rPr>
        <w:t>Согласно </w:t>
      </w:r>
      <w:hyperlink r:id="rId6" w:tgtFrame="_blank" w:history="1">
        <w:r w:rsidR="00A944AF">
          <w:rPr>
            <w:rStyle w:val="a5"/>
            <w:color w:val="000000" w:themeColor="text1"/>
            <w:sz w:val="28"/>
            <w:szCs w:val="28"/>
            <w:u w:val="none"/>
          </w:rPr>
          <w:t>Федеральному</w:t>
        </w:r>
        <w:r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A944AF">
          <w:rPr>
            <w:rStyle w:val="a5"/>
            <w:color w:val="000000" w:themeColor="text1"/>
            <w:sz w:val="28"/>
            <w:szCs w:val="28"/>
            <w:u w:val="none"/>
          </w:rPr>
          <w:t>Закону от 16.04.2022 № 99</w:t>
        </w:r>
        <w:r>
          <w:rPr>
            <w:rStyle w:val="a5"/>
            <w:color w:val="000000" w:themeColor="text1"/>
            <w:sz w:val="28"/>
            <w:szCs w:val="28"/>
            <w:u w:val="none"/>
          </w:rPr>
          <w:t>-</w:t>
        </w:r>
        <w:r w:rsidR="00A944AF" w:rsidRPr="00A944AF">
          <w:rPr>
            <w:rStyle w:val="a5"/>
            <w:color w:val="000000" w:themeColor="text1"/>
            <w:sz w:val="28"/>
            <w:szCs w:val="28"/>
            <w:u w:val="none"/>
          </w:rPr>
          <w:t>ФЗ</w:t>
        </w:r>
      </w:hyperlink>
      <w:r w:rsidR="00A944AF" w:rsidRPr="00A944AF">
        <w:rPr>
          <w:color w:val="000000" w:themeColor="text1"/>
          <w:sz w:val="28"/>
          <w:szCs w:val="28"/>
        </w:rPr>
        <w:t> и </w:t>
      </w:r>
      <w:hyperlink r:id="rId7" w:tgtFrame="_blank" w:history="1">
        <w:r w:rsidR="00A944AF" w:rsidRPr="00A944AF">
          <w:rPr>
            <w:rStyle w:val="a5"/>
            <w:color w:val="000000" w:themeColor="text1"/>
            <w:sz w:val="28"/>
            <w:szCs w:val="28"/>
            <w:u w:val="none"/>
          </w:rPr>
          <w:t>Федеральному закону от 16.04.2022 № 114-ФЗ</w:t>
        </w:r>
      </w:hyperlink>
      <w:r w:rsidR="00A944AF" w:rsidRPr="00A944AF">
        <w:rPr>
          <w:color w:val="000000" w:themeColor="text1"/>
          <w:sz w:val="28"/>
          <w:szCs w:val="28"/>
        </w:rPr>
        <w:t> в указанных выше нормативных актах (</w:t>
      </w:r>
      <w:hyperlink r:id="rId8" w:anchor="h1484" w:tgtFrame="_blank" w:history="1">
        <w:r w:rsidR="00A944AF" w:rsidRPr="00A944AF">
          <w:rPr>
            <w:rStyle w:val="a5"/>
            <w:color w:val="000000" w:themeColor="text1"/>
            <w:sz w:val="28"/>
            <w:szCs w:val="28"/>
            <w:u w:val="none"/>
          </w:rPr>
          <w:t>ст. 67.1 ГК РФ</w:t>
        </w:r>
      </w:hyperlink>
      <w:r w:rsidR="00A944AF" w:rsidRPr="00A944AF">
        <w:rPr>
          <w:color w:val="000000" w:themeColor="text1"/>
          <w:sz w:val="28"/>
          <w:szCs w:val="28"/>
        </w:rPr>
        <w:t> и </w:t>
      </w:r>
      <w:hyperlink r:id="rId9" w:anchor="h3470" w:tgtFrame="_blank" w:history="1">
        <w:r w:rsidR="00A944AF" w:rsidRPr="00A944AF">
          <w:rPr>
            <w:rStyle w:val="a5"/>
            <w:color w:val="000000" w:themeColor="text1"/>
            <w:sz w:val="28"/>
            <w:szCs w:val="28"/>
            <w:u w:val="none"/>
          </w:rPr>
          <w:t>ст. 88 Федерального закона от 26.12.1995 № 208</w:t>
        </w:r>
      </w:hyperlink>
      <w:r w:rsidR="00A944AF" w:rsidRPr="00A944AF">
        <w:rPr>
          <w:color w:val="000000" w:themeColor="text1"/>
          <w:sz w:val="28"/>
          <w:szCs w:val="28"/>
        </w:rPr>
        <w:t>) произошли изменения, которые вступают в силу 1 января 2023 года. </w:t>
      </w:r>
    </w:p>
    <w:p w:rsidR="00A944AF" w:rsidRPr="00A944AF" w:rsidRDefault="00A944AF" w:rsidP="00A944A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44AF">
        <w:rPr>
          <w:color w:val="000000" w:themeColor="text1"/>
          <w:sz w:val="28"/>
          <w:szCs w:val="28"/>
        </w:rPr>
        <w:t>Благодаря нововведениям ежегодно проводить аудит будут обязаны только открытые акционерные общества. Соответственно, для закрытых акционерных обществ с доходом до 800 млн</w:t>
      </w:r>
      <w:r w:rsidR="00860143">
        <w:rPr>
          <w:color w:val="000000" w:themeColor="text1"/>
          <w:sz w:val="28"/>
          <w:szCs w:val="28"/>
        </w:rPr>
        <w:t>.</w:t>
      </w:r>
      <w:r w:rsidRPr="00A944AF">
        <w:rPr>
          <w:color w:val="000000" w:themeColor="text1"/>
          <w:sz w:val="28"/>
          <w:szCs w:val="28"/>
        </w:rPr>
        <w:t xml:space="preserve"> руб. и суммой активов баланса до 400 млн</w:t>
      </w:r>
      <w:r w:rsidR="00860143">
        <w:rPr>
          <w:color w:val="000000" w:themeColor="text1"/>
          <w:sz w:val="28"/>
          <w:szCs w:val="28"/>
        </w:rPr>
        <w:t>.</w:t>
      </w:r>
      <w:r w:rsidRPr="00A944AF">
        <w:rPr>
          <w:color w:val="000000" w:themeColor="text1"/>
          <w:sz w:val="28"/>
          <w:szCs w:val="28"/>
        </w:rPr>
        <w:t xml:space="preserve"> руб. (включительно) отменена обязанность </w:t>
      </w:r>
      <w:proofErr w:type="gramStart"/>
      <w:r w:rsidRPr="00A944AF">
        <w:rPr>
          <w:color w:val="000000" w:themeColor="text1"/>
          <w:sz w:val="28"/>
          <w:szCs w:val="28"/>
        </w:rPr>
        <w:t>проводить</w:t>
      </w:r>
      <w:proofErr w:type="gramEnd"/>
      <w:r w:rsidRPr="00A944AF">
        <w:rPr>
          <w:color w:val="000000" w:themeColor="text1"/>
          <w:sz w:val="28"/>
          <w:szCs w:val="28"/>
        </w:rPr>
        <w:t xml:space="preserve"> аудит годовой бухгалтерской отчетности.</w:t>
      </w:r>
    </w:p>
    <w:p w:rsidR="00FE188D" w:rsidRDefault="00A944AF" w:rsidP="00FE18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44AF">
        <w:rPr>
          <w:color w:val="000000" w:themeColor="text1"/>
          <w:sz w:val="28"/>
          <w:szCs w:val="28"/>
        </w:rPr>
        <w:t xml:space="preserve">Однако для непубличных обществ сохраняется право на проведение аудита по собственной инициативе, как и у любой другой организации. </w:t>
      </w:r>
      <w:proofErr w:type="gramStart"/>
      <w:r w:rsidRPr="00A944AF">
        <w:rPr>
          <w:color w:val="000000" w:themeColor="text1"/>
          <w:sz w:val="28"/>
          <w:szCs w:val="28"/>
        </w:rPr>
        <w:t>Правда</w:t>
      </w:r>
      <w:proofErr w:type="gramEnd"/>
      <w:r w:rsidRPr="00A944AF">
        <w:rPr>
          <w:color w:val="000000" w:themeColor="text1"/>
          <w:sz w:val="28"/>
          <w:szCs w:val="28"/>
        </w:rPr>
        <w:t xml:space="preserve"> для этого нужно коллегиальное решение тех аукционеров, которые имеют право голоса на общем собрании. Хотя они вправе проводить аудиторские проверки, если решение об этом примет общее собрание акционеров.</w:t>
      </w:r>
    </w:p>
    <w:p w:rsidR="00FE188D" w:rsidRDefault="00FE188D" w:rsidP="0003037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188D">
        <w:rPr>
          <w:color w:val="000000" w:themeColor="text1"/>
          <w:sz w:val="28"/>
          <w:szCs w:val="28"/>
        </w:rPr>
        <w:t>Обязательный аудит проводится ежегодно</w:t>
      </w:r>
      <w:r w:rsidR="00030379">
        <w:rPr>
          <w:color w:val="000000" w:themeColor="text1"/>
          <w:sz w:val="28"/>
          <w:szCs w:val="28"/>
        </w:rPr>
        <w:t xml:space="preserve"> и </w:t>
      </w:r>
      <w:r w:rsidRPr="00FE188D">
        <w:rPr>
          <w:color w:val="000000" w:themeColor="text1"/>
          <w:sz w:val="28"/>
          <w:szCs w:val="28"/>
        </w:rPr>
        <w:t xml:space="preserve"> по общему правилу аудиторское заключение должно быть представлено </w:t>
      </w:r>
      <w:r>
        <w:rPr>
          <w:color w:val="000000" w:themeColor="text1"/>
          <w:sz w:val="28"/>
          <w:szCs w:val="28"/>
        </w:rPr>
        <w:t xml:space="preserve"> в налоговую инспекцию вместе с годовой бухгалтерской отчетностью. </w:t>
      </w:r>
    </w:p>
    <w:p w:rsidR="00FE188D" w:rsidRDefault="00FE188D" w:rsidP="00FE18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в цвете последних изменений важно </w:t>
      </w:r>
      <w:r w:rsidRPr="00FE188D">
        <w:rPr>
          <w:color w:val="000000" w:themeColor="text1"/>
          <w:sz w:val="28"/>
          <w:szCs w:val="28"/>
        </w:rPr>
        <w:t xml:space="preserve">знать, что обязательный аудит </w:t>
      </w:r>
      <w:r>
        <w:rPr>
          <w:color w:val="000000" w:themeColor="text1"/>
          <w:sz w:val="28"/>
          <w:szCs w:val="28"/>
        </w:rPr>
        <w:t xml:space="preserve">на сегодняшний день </w:t>
      </w:r>
      <w:r w:rsidRPr="00FE188D">
        <w:rPr>
          <w:color w:val="000000" w:themeColor="text1"/>
          <w:sz w:val="28"/>
          <w:szCs w:val="28"/>
        </w:rPr>
        <w:t>могут проводить только аудиторские организации (</w:t>
      </w:r>
      <w:hyperlink r:id="rId10" w:tgtFrame="_blank" w:history="1">
        <w:proofErr w:type="gramStart"/>
        <w:r w:rsidRPr="00FE188D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FE188D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. 3 ст. 5 Закона от 30.12.2008</w:t>
        </w:r>
        <w:r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г.</w:t>
        </w:r>
        <w:r w:rsidRPr="00FE188D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N 307-ФЗ</w:t>
        </w:r>
      </w:hyperlink>
      <w:r w:rsidR="003617E3">
        <w:rPr>
          <w:color w:val="000000" w:themeColor="text1"/>
          <w:sz w:val="28"/>
          <w:szCs w:val="28"/>
        </w:rPr>
        <w:t xml:space="preserve">) деятельность </w:t>
      </w:r>
      <w:r>
        <w:rPr>
          <w:color w:val="000000" w:themeColor="text1"/>
          <w:sz w:val="28"/>
          <w:szCs w:val="28"/>
        </w:rPr>
        <w:t>которы</w:t>
      </w:r>
      <w:r w:rsidR="003617E3">
        <w:rPr>
          <w:color w:val="000000" w:themeColor="text1"/>
          <w:sz w:val="28"/>
          <w:szCs w:val="28"/>
        </w:rPr>
        <w:t>х,</w:t>
      </w:r>
      <w:r>
        <w:rPr>
          <w:color w:val="000000" w:themeColor="text1"/>
          <w:sz w:val="28"/>
          <w:szCs w:val="28"/>
        </w:rPr>
        <w:t xml:space="preserve">  соответствуют следующим критериям:</w:t>
      </w:r>
    </w:p>
    <w:p w:rsidR="00010173" w:rsidRPr="00010173" w:rsidRDefault="00010173" w:rsidP="0001017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аудиторская фирма имеет</w:t>
      </w:r>
      <w:r w:rsidRPr="00FE2D81">
        <w:rPr>
          <w:color w:val="000000" w:themeColor="text1"/>
          <w:sz w:val="28"/>
          <w:szCs w:val="28"/>
          <w:shd w:val="clear" w:color="auto" w:fill="FFFFFF"/>
        </w:rPr>
        <w:t xml:space="preserve"> интерн</w:t>
      </w:r>
      <w:r>
        <w:rPr>
          <w:color w:val="000000" w:themeColor="text1"/>
          <w:sz w:val="28"/>
          <w:szCs w:val="28"/>
          <w:shd w:val="clear" w:color="auto" w:fill="FFFFFF"/>
        </w:rPr>
        <w:t>ет-страницу, регулярно обновляет и освещает на ней вопросы сво</w:t>
      </w:r>
      <w:r w:rsidRPr="00FE2D81">
        <w:rPr>
          <w:color w:val="000000" w:themeColor="text1"/>
          <w:sz w:val="28"/>
          <w:szCs w:val="28"/>
          <w:shd w:val="clear" w:color="auto" w:fill="FFFFFF"/>
        </w:rPr>
        <w:t>ей 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10173" w:rsidRPr="00010173" w:rsidRDefault="00010173" w:rsidP="0001017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1E1E1E"/>
          <w:sz w:val="28"/>
          <w:szCs w:val="28"/>
        </w:rPr>
        <w:t xml:space="preserve">аудиторская фирма </w:t>
      </w:r>
      <w:r w:rsidRPr="008B2567">
        <w:rPr>
          <w:color w:val="1E1E1E"/>
          <w:sz w:val="28"/>
          <w:szCs w:val="28"/>
        </w:rPr>
        <w:t>оказывать аудиторские услуги общественно значимым организациям</w:t>
      </w:r>
      <w:r>
        <w:rPr>
          <w:color w:val="1E1E1E"/>
          <w:sz w:val="28"/>
          <w:szCs w:val="28"/>
        </w:rPr>
        <w:t xml:space="preserve"> и имеет штатных аудиторов не менее пяти;</w:t>
      </w:r>
    </w:p>
    <w:p w:rsidR="003617E3" w:rsidRPr="003617E3" w:rsidRDefault="00010173" w:rsidP="003617E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1E1E1E"/>
          <w:sz w:val="28"/>
          <w:szCs w:val="28"/>
        </w:rPr>
        <w:t>а</w:t>
      </w:r>
      <w:r w:rsidRPr="008B2567">
        <w:rPr>
          <w:color w:val="1E1E1E"/>
          <w:sz w:val="28"/>
          <w:szCs w:val="28"/>
        </w:rPr>
        <w:t xml:space="preserve">удиторская фирма, сведения о которой внесены в Реестр оказывающих аудиторские услуги общественно </w:t>
      </w:r>
      <w:r>
        <w:rPr>
          <w:color w:val="1E1E1E"/>
          <w:sz w:val="28"/>
          <w:szCs w:val="28"/>
        </w:rPr>
        <w:t xml:space="preserve">значимым организациям  имеет право </w:t>
      </w:r>
      <w:r w:rsidRPr="008B2567">
        <w:rPr>
          <w:color w:val="1E1E1E"/>
          <w:sz w:val="28"/>
          <w:szCs w:val="28"/>
        </w:rPr>
        <w:t xml:space="preserve"> оказывать аудиторские услуги общественно значимым организациям на финансовом рынке</w:t>
      </w:r>
      <w:r>
        <w:rPr>
          <w:color w:val="1E1E1E"/>
          <w:sz w:val="28"/>
          <w:szCs w:val="28"/>
        </w:rPr>
        <w:t>, если в штатная численной профессиональных аудиторов не менее двенадцати;</w:t>
      </w:r>
      <w:proofErr w:type="gramEnd"/>
    </w:p>
    <w:p w:rsidR="003617E3" w:rsidRPr="003617E3" w:rsidRDefault="003617E3" w:rsidP="003617E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1E1E1E"/>
          <w:sz w:val="28"/>
          <w:szCs w:val="28"/>
        </w:rPr>
        <w:t xml:space="preserve">аудиторская фирма </w:t>
      </w:r>
      <w:r>
        <w:rPr>
          <w:sz w:val="28"/>
          <w:szCs w:val="28"/>
        </w:rPr>
        <w:t>обязана</w:t>
      </w:r>
      <w:r w:rsidRPr="003617E3">
        <w:rPr>
          <w:sz w:val="28"/>
          <w:szCs w:val="28"/>
        </w:rPr>
        <w:t xml:space="preserve"> по запросу клиента предоставлять сведения о </w:t>
      </w:r>
      <w:r>
        <w:rPr>
          <w:sz w:val="28"/>
          <w:szCs w:val="28"/>
        </w:rPr>
        <w:t xml:space="preserve">своем </w:t>
      </w:r>
      <w:r w:rsidRPr="003617E3">
        <w:rPr>
          <w:sz w:val="28"/>
          <w:szCs w:val="28"/>
        </w:rPr>
        <w:t>нахождении в том или ином аудиторском реестре;</w:t>
      </w:r>
    </w:p>
    <w:p w:rsidR="00030379" w:rsidRPr="00030379" w:rsidRDefault="003617E3" w:rsidP="0003037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1E1E1E"/>
          <w:sz w:val="28"/>
          <w:szCs w:val="28"/>
        </w:rPr>
        <w:t xml:space="preserve">аудиторская фирма </w:t>
      </w:r>
      <w:r>
        <w:rPr>
          <w:sz w:val="28"/>
          <w:szCs w:val="28"/>
        </w:rPr>
        <w:t xml:space="preserve">обязана обеспечить достоверность данных </w:t>
      </w:r>
      <w:r w:rsidRPr="003617E3">
        <w:rPr>
          <w:sz w:val="28"/>
          <w:szCs w:val="28"/>
        </w:rPr>
        <w:t xml:space="preserve"> электронного документооборота с Федераль</w:t>
      </w:r>
      <w:r w:rsidR="00030379">
        <w:rPr>
          <w:sz w:val="28"/>
          <w:szCs w:val="28"/>
        </w:rPr>
        <w:t>ным казначейством и ЦБ РФ</w:t>
      </w:r>
      <w:r w:rsidRPr="003617E3">
        <w:rPr>
          <w:sz w:val="28"/>
          <w:szCs w:val="28"/>
        </w:rPr>
        <w:t>, взаимодействовать с последним</w:t>
      </w:r>
      <w:r>
        <w:rPr>
          <w:sz w:val="28"/>
          <w:szCs w:val="28"/>
        </w:rPr>
        <w:t xml:space="preserve"> в случае выявления экономических преступлений</w:t>
      </w:r>
      <w:r w:rsidR="00030379">
        <w:rPr>
          <w:sz w:val="28"/>
          <w:szCs w:val="28"/>
        </w:rPr>
        <w:t>, занижения налогооблагаемой прибыли в части неуплаты налогов в бюджет</w:t>
      </w:r>
      <w:r w:rsidRPr="003617E3">
        <w:rPr>
          <w:sz w:val="28"/>
          <w:szCs w:val="28"/>
        </w:rPr>
        <w:t>;</w:t>
      </w:r>
    </w:p>
    <w:p w:rsidR="003617E3" w:rsidRPr="00030379" w:rsidRDefault="00030379" w:rsidP="0003037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1E1E1E"/>
          <w:sz w:val="28"/>
          <w:szCs w:val="28"/>
        </w:rPr>
        <w:t xml:space="preserve">аудиторская фирма </w:t>
      </w:r>
      <w:r w:rsidR="003617E3" w:rsidRPr="00030379">
        <w:rPr>
          <w:sz w:val="28"/>
          <w:szCs w:val="28"/>
        </w:rPr>
        <w:t xml:space="preserve">в 10-дневный срок </w:t>
      </w:r>
      <w:r>
        <w:rPr>
          <w:sz w:val="28"/>
          <w:szCs w:val="28"/>
        </w:rPr>
        <w:t xml:space="preserve"> обязана уведомлять ЦБ</w:t>
      </w:r>
      <w:r w:rsidR="003617E3" w:rsidRPr="0003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 </w:t>
      </w:r>
      <w:r w:rsidR="003617E3" w:rsidRPr="00030379">
        <w:rPr>
          <w:sz w:val="28"/>
          <w:szCs w:val="28"/>
        </w:rPr>
        <w:t xml:space="preserve">о своем отказе или об отказе общественно значимой компании </w:t>
      </w:r>
      <w:r>
        <w:rPr>
          <w:sz w:val="28"/>
          <w:szCs w:val="28"/>
        </w:rPr>
        <w:t xml:space="preserve">в проведении </w:t>
      </w:r>
      <w:r w:rsidR="003617E3" w:rsidRPr="00030379">
        <w:rPr>
          <w:sz w:val="28"/>
          <w:szCs w:val="28"/>
        </w:rPr>
        <w:t>обяз</w:t>
      </w:r>
      <w:r>
        <w:rPr>
          <w:sz w:val="28"/>
          <w:szCs w:val="28"/>
        </w:rPr>
        <w:t xml:space="preserve">ательной </w:t>
      </w:r>
      <w:r w:rsidR="003617E3" w:rsidRPr="00030379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орской проверки.</w:t>
      </w:r>
    </w:p>
    <w:p w:rsidR="00030379" w:rsidRDefault="00030379" w:rsidP="00FE188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0379" w:rsidRDefault="00030379" w:rsidP="00030379">
      <w:pPr>
        <w:pStyle w:val="a6"/>
        <w:spacing w:before="0" w:after="0" w:line="360" w:lineRule="auto"/>
        <w:ind w:firstLine="709"/>
        <w:contextualSpacing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030379" w:rsidRPr="00B237F4" w:rsidRDefault="00030379" w:rsidP="00030379">
      <w:pPr>
        <w:pStyle w:val="a3"/>
        <w:numPr>
          <w:ilvl w:val="0"/>
          <w:numId w:val="8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F3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27070C">
        <w:rPr>
          <w:rFonts w:ascii="Times New Roman" w:hAnsi="Times New Roman"/>
          <w:sz w:val="28"/>
          <w:szCs w:val="28"/>
        </w:rPr>
        <w:t xml:space="preserve">от 30 декабря 2008 г. N 307-ФЗ «Об аудиторской деятельности», устанавливающей условия для проведения обязательного аудита (с последними изменениями от 30.12.2021г. № 435-ФЗ) [Электронный ресурс] </w:t>
      </w:r>
      <w:r w:rsidRPr="0027070C">
        <w:rPr>
          <w:rFonts w:ascii="Times New Roman" w:hAnsi="Times New Roman"/>
          <w:iCs/>
          <w:sz w:val="28"/>
          <w:szCs w:val="28"/>
        </w:rPr>
        <w:t xml:space="preserve"> // Справочно-правовая система «Консультант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7070C">
        <w:rPr>
          <w:rFonts w:ascii="Times New Roman" w:hAnsi="Times New Roman"/>
          <w:iCs/>
          <w:sz w:val="28"/>
          <w:szCs w:val="28"/>
        </w:rPr>
        <w:t xml:space="preserve">Плюс».  </w:t>
      </w:r>
      <w:r w:rsidRPr="0027070C">
        <w:rPr>
          <w:rFonts w:ascii="Times New Roman" w:eastAsia="Arial Unicode MS" w:hAnsi="Times New Roman"/>
          <w:sz w:val="28"/>
          <w:szCs w:val="28"/>
        </w:rPr>
        <w:t>Режим доступа:</w:t>
      </w:r>
      <w:r w:rsidRPr="0027070C">
        <w:rPr>
          <w:rFonts w:ascii="Times New Roman" w:hAnsi="Times New Roman"/>
        </w:rPr>
        <w:t xml:space="preserve"> </w:t>
      </w:r>
      <w:hyperlink r:id="rId11" w:history="1">
        <w:r w:rsidRPr="00030379">
          <w:rPr>
            <w:rStyle w:val="a5"/>
            <w:rFonts w:ascii="Times New Roman" w:eastAsia="Arial Unicode MS" w:hAnsi="Times New Roman"/>
            <w:color w:val="000000" w:themeColor="text1"/>
            <w:sz w:val="28"/>
            <w:szCs w:val="28"/>
            <w:u w:val="none"/>
          </w:rPr>
          <w:t>http://www.consultant.ru/</w:t>
        </w:r>
      </w:hyperlink>
      <w:r w:rsidRPr="00030379">
        <w:rPr>
          <w:rFonts w:ascii="Times New Roman" w:hAnsi="Times New Roman"/>
          <w:color w:val="000000" w:themeColor="text1"/>
        </w:rPr>
        <w:t>.</w:t>
      </w:r>
    </w:p>
    <w:p w:rsidR="00030379" w:rsidRPr="0074635B" w:rsidRDefault="00030379" w:rsidP="00030379">
      <w:pPr>
        <w:pStyle w:val="a3"/>
        <w:numPr>
          <w:ilvl w:val="0"/>
          <w:numId w:val="8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219">
        <w:rPr>
          <w:rFonts w:ascii="Times New Roman" w:hAnsi="Times New Roman" w:cs="Times New Roman"/>
          <w:sz w:val="28"/>
          <w:szCs w:val="28"/>
        </w:rPr>
        <w:t>Ермишина</w:t>
      </w:r>
      <w:proofErr w:type="spellEnd"/>
      <w:r w:rsidRPr="00487219">
        <w:rPr>
          <w:rFonts w:ascii="Times New Roman" w:hAnsi="Times New Roman" w:cs="Times New Roman"/>
          <w:sz w:val="28"/>
          <w:szCs w:val="28"/>
        </w:rPr>
        <w:t xml:space="preserve"> О.Ф., </w:t>
      </w:r>
      <w:proofErr w:type="spellStart"/>
      <w:r w:rsidRPr="00487219">
        <w:rPr>
          <w:rFonts w:ascii="Times New Roman" w:hAnsi="Times New Roman" w:cs="Times New Roman"/>
          <w:sz w:val="28"/>
          <w:szCs w:val="28"/>
        </w:rPr>
        <w:t>Хайбуллова</w:t>
      </w:r>
      <w:proofErr w:type="spellEnd"/>
      <w:r w:rsidRPr="00487219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Pr="00487219">
        <w:rPr>
          <w:rFonts w:ascii="Times New Roman" w:hAnsi="Times New Roman" w:cs="Times New Roman"/>
          <w:sz w:val="28"/>
          <w:szCs w:val="28"/>
        </w:rPr>
        <w:t>Иосова</w:t>
      </w:r>
      <w:proofErr w:type="spellEnd"/>
      <w:r w:rsidRPr="00487219">
        <w:rPr>
          <w:rFonts w:ascii="Times New Roman" w:hAnsi="Times New Roman" w:cs="Times New Roman"/>
          <w:sz w:val="28"/>
          <w:szCs w:val="28"/>
        </w:rPr>
        <w:t xml:space="preserve"> А.М. Сравнительная характеристика внутреннего контроля и внутреннего аудита//«Экономика, управление и финансы: конкурентное развитие и инновационные подходы»: сборник статей III Всероссийской научно-практической конференции / под </w:t>
      </w:r>
      <w:proofErr w:type="spellStart"/>
      <w:r w:rsidRPr="0048721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87219">
        <w:rPr>
          <w:rFonts w:ascii="Times New Roman" w:hAnsi="Times New Roman" w:cs="Times New Roman"/>
          <w:sz w:val="28"/>
          <w:szCs w:val="28"/>
        </w:rPr>
        <w:t xml:space="preserve">. ред. А. С. </w:t>
      </w:r>
      <w:proofErr w:type="spellStart"/>
      <w:r w:rsidRPr="00487219">
        <w:rPr>
          <w:rFonts w:ascii="Times New Roman" w:hAnsi="Times New Roman" w:cs="Times New Roman"/>
          <w:sz w:val="28"/>
          <w:szCs w:val="28"/>
        </w:rPr>
        <w:t>Бобылевой</w:t>
      </w:r>
      <w:proofErr w:type="spellEnd"/>
      <w:r w:rsidRPr="00487219">
        <w:rPr>
          <w:rFonts w:ascii="Times New Roman" w:hAnsi="Times New Roman" w:cs="Times New Roman"/>
          <w:sz w:val="28"/>
          <w:szCs w:val="28"/>
        </w:rPr>
        <w:t>, Н. В. Ширяев</w:t>
      </w:r>
      <w:r>
        <w:rPr>
          <w:rFonts w:ascii="Times New Roman" w:hAnsi="Times New Roman" w:cs="Times New Roman"/>
          <w:sz w:val="28"/>
          <w:szCs w:val="28"/>
        </w:rPr>
        <w:t xml:space="preserve">ой,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Ульяновск: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2021, с</w:t>
      </w:r>
      <w:r w:rsidRPr="00487219">
        <w:rPr>
          <w:rFonts w:ascii="Times New Roman" w:hAnsi="Times New Roman" w:cs="Times New Roman"/>
          <w:sz w:val="28"/>
          <w:szCs w:val="28"/>
        </w:rPr>
        <w:t>. 195-199.</w:t>
      </w:r>
    </w:p>
    <w:p w:rsidR="00030379" w:rsidRPr="00FE188D" w:rsidRDefault="00030379" w:rsidP="00FE188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188D" w:rsidRDefault="00FE188D" w:rsidP="000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E188D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0A"/>
    <w:multiLevelType w:val="hybridMultilevel"/>
    <w:tmpl w:val="6B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10E"/>
    <w:multiLevelType w:val="multilevel"/>
    <w:tmpl w:val="CCF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D6A8A"/>
    <w:multiLevelType w:val="multilevel"/>
    <w:tmpl w:val="ECA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04FCF"/>
    <w:multiLevelType w:val="hybridMultilevel"/>
    <w:tmpl w:val="151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11EB0"/>
    <w:multiLevelType w:val="hybridMultilevel"/>
    <w:tmpl w:val="166CA8D2"/>
    <w:lvl w:ilvl="0" w:tplc="FE0CD2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175DB1"/>
    <w:multiLevelType w:val="hybridMultilevel"/>
    <w:tmpl w:val="2888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A6693"/>
    <w:multiLevelType w:val="hybridMultilevel"/>
    <w:tmpl w:val="AC26B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2E5EC1"/>
    <w:multiLevelType w:val="hybridMultilevel"/>
    <w:tmpl w:val="BF8E34DA"/>
    <w:lvl w:ilvl="0" w:tplc="FE0CD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03903"/>
    <w:rsid w:val="00003903"/>
    <w:rsid w:val="00010173"/>
    <w:rsid w:val="00014E2E"/>
    <w:rsid w:val="00030379"/>
    <w:rsid w:val="000A63ED"/>
    <w:rsid w:val="000A7494"/>
    <w:rsid w:val="000F1D19"/>
    <w:rsid w:val="0010535E"/>
    <w:rsid w:val="0014244E"/>
    <w:rsid w:val="00151DCA"/>
    <w:rsid w:val="0017386E"/>
    <w:rsid w:val="001D4362"/>
    <w:rsid w:val="001F41B9"/>
    <w:rsid w:val="001F489B"/>
    <w:rsid w:val="001F5846"/>
    <w:rsid w:val="002162D3"/>
    <w:rsid w:val="002302D0"/>
    <w:rsid w:val="0023079C"/>
    <w:rsid w:val="002B6897"/>
    <w:rsid w:val="002E21ED"/>
    <w:rsid w:val="002E594C"/>
    <w:rsid w:val="003309A3"/>
    <w:rsid w:val="00343B5F"/>
    <w:rsid w:val="003617E3"/>
    <w:rsid w:val="003651CB"/>
    <w:rsid w:val="003B71FC"/>
    <w:rsid w:val="003E18EC"/>
    <w:rsid w:val="00401304"/>
    <w:rsid w:val="00415EFF"/>
    <w:rsid w:val="00443A5B"/>
    <w:rsid w:val="004C265D"/>
    <w:rsid w:val="004E6897"/>
    <w:rsid w:val="00520237"/>
    <w:rsid w:val="005343FF"/>
    <w:rsid w:val="00541236"/>
    <w:rsid w:val="00552FDE"/>
    <w:rsid w:val="005531B5"/>
    <w:rsid w:val="005568C4"/>
    <w:rsid w:val="005771B1"/>
    <w:rsid w:val="00590BD1"/>
    <w:rsid w:val="005C5A68"/>
    <w:rsid w:val="005E7F35"/>
    <w:rsid w:val="0060597C"/>
    <w:rsid w:val="006D13FC"/>
    <w:rsid w:val="006D4EA4"/>
    <w:rsid w:val="006E4341"/>
    <w:rsid w:val="006E58B4"/>
    <w:rsid w:val="006F533F"/>
    <w:rsid w:val="00723E22"/>
    <w:rsid w:val="00733A29"/>
    <w:rsid w:val="00734FB8"/>
    <w:rsid w:val="007577F1"/>
    <w:rsid w:val="00766F59"/>
    <w:rsid w:val="007875C3"/>
    <w:rsid w:val="00793D9B"/>
    <w:rsid w:val="007B2485"/>
    <w:rsid w:val="007B3FFD"/>
    <w:rsid w:val="007E3ABE"/>
    <w:rsid w:val="008036C7"/>
    <w:rsid w:val="008210B6"/>
    <w:rsid w:val="00845DA6"/>
    <w:rsid w:val="00860143"/>
    <w:rsid w:val="008F2488"/>
    <w:rsid w:val="00942855"/>
    <w:rsid w:val="00952841"/>
    <w:rsid w:val="009920B2"/>
    <w:rsid w:val="009962DF"/>
    <w:rsid w:val="009E5D72"/>
    <w:rsid w:val="00A944AF"/>
    <w:rsid w:val="00AF509F"/>
    <w:rsid w:val="00B004A3"/>
    <w:rsid w:val="00B16A0A"/>
    <w:rsid w:val="00B211E5"/>
    <w:rsid w:val="00B273E7"/>
    <w:rsid w:val="00B41918"/>
    <w:rsid w:val="00BB36A9"/>
    <w:rsid w:val="00BC6115"/>
    <w:rsid w:val="00BE32E3"/>
    <w:rsid w:val="00BF46DD"/>
    <w:rsid w:val="00C00443"/>
    <w:rsid w:val="00C045D6"/>
    <w:rsid w:val="00C22865"/>
    <w:rsid w:val="00C35477"/>
    <w:rsid w:val="00C45EA4"/>
    <w:rsid w:val="00C60846"/>
    <w:rsid w:val="00CA00AE"/>
    <w:rsid w:val="00CB0A1D"/>
    <w:rsid w:val="00CB2013"/>
    <w:rsid w:val="00CE3B1C"/>
    <w:rsid w:val="00D0097D"/>
    <w:rsid w:val="00D205A5"/>
    <w:rsid w:val="00D23E29"/>
    <w:rsid w:val="00D348F9"/>
    <w:rsid w:val="00D667D6"/>
    <w:rsid w:val="00D760E6"/>
    <w:rsid w:val="00D84586"/>
    <w:rsid w:val="00D9751A"/>
    <w:rsid w:val="00DC1C5D"/>
    <w:rsid w:val="00E20788"/>
    <w:rsid w:val="00E827EC"/>
    <w:rsid w:val="00E82FC4"/>
    <w:rsid w:val="00E91832"/>
    <w:rsid w:val="00ED25BD"/>
    <w:rsid w:val="00EF0440"/>
    <w:rsid w:val="00F02E7D"/>
    <w:rsid w:val="00F202E3"/>
    <w:rsid w:val="00F27FA8"/>
    <w:rsid w:val="00F47C4B"/>
    <w:rsid w:val="00F67303"/>
    <w:rsid w:val="00FA456E"/>
    <w:rsid w:val="00FB4F2E"/>
    <w:rsid w:val="00FC76CF"/>
    <w:rsid w:val="00FE188D"/>
    <w:rsid w:val="00FE231B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paragraph" w:styleId="3">
    <w:name w:val="heading 3"/>
    <w:basedOn w:val="a"/>
    <w:next w:val="a"/>
    <w:link w:val="30"/>
    <w:uiPriority w:val="9"/>
    <w:unhideWhenUsed/>
    <w:qFormat/>
    <w:rsid w:val="00361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036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44AF"/>
    <w:rPr>
      <w:color w:val="0000FF"/>
      <w:u w:val="single"/>
    </w:rPr>
  </w:style>
  <w:style w:type="paragraph" w:styleId="a6">
    <w:name w:val="Normal (Web)"/>
    <w:aliases w:val="Обычный (Web),Обычный (Web)1,Знак Знак2,Знак Знак Знак,Обычный (веб)2,Знак1, Знак Знак2,Обычный (веб) Знак Знак Знак,Обычный (веб) Знак2,Обычный (веб) Знак1 Знак,Обычный (веб) Знак1 Знак Знак Знак,Обычный (веб) Знак Знак Знак Знак Знак"/>
    <w:basedOn w:val="a"/>
    <w:link w:val="a7"/>
    <w:uiPriority w:val="99"/>
    <w:unhideWhenUsed/>
    <w:qFormat/>
    <w:rsid w:val="00A9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бычный (веб) Знак"/>
    <w:aliases w:val="Обычный (Web) Знак,Обычный (Web)1 Знак,Знак Знак2 Знак,Знак Знак Знак Знак,Обычный (веб)2 Знак,Знак1 Знак, Знак Знак2 Знак,Обычный (веб) Знак Знак Знак Знак,Обычный (веб) Знак2 Знак,Обычный (веб) Знак1 Знак Знак"/>
    <w:link w:val="a6"/>
    <w:uiPriority w:val="99"/>
    <w:rsid w:val="00030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030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0627&amp;p=1210&amp;utm_source=yandex&amp;utm_medium=organic&amp;utm_referer=yandex.ru&amp;utm_startpage=kontur.ru%2Farticles%2F2355&amp;utm_orderpage=kontur.ru%2Farticles%2F23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33654&amp;cwi=0&amp;p=1210&amp;utm_source=yandex&amp;utm_medium=organic&amp;utm_referer=yandex.ru&amp;utm_startpage=kontur.ru%2Farticles%2F2355&amp;utm_orderpage=kontur.ru%2Farticles%2F23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20094&amp;p=1210&amp;utm_source=yandex&amp;utm_medium=organic&amp;utm_referer=yandex.ru&amp;utm_startpage=kontur.ru%2Farticles%2F2355&amp;utm_orderpage=kontur.ru%2Farticles%2F2355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s://normativ.kontur.ru/document?moduleId=1&amp;documentId=426327&amp;p=1210&amp;utm_source=yandex&amp;utm_medium=organic&amp;utm_referer=yandex.ru&amp;utm_startpage=kontur.ru%2Farticles%2F2355&amp;utm_orderpage=kontur.ru%2Farticles%2F2355" TargetMode="External"/><Relationship Id="rId10" Type="http://schemas.openxmlformats.org/officeDocument/2006/relationships/hyperlink" Target="https://login.consultant.ru/link/?req=doc&amp;base=LAW&amp;n=415005&amp;dst=73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3567&amp;cwi=27453&amp;p=1210&amp;utm_source=yandex&amp;utm_medium=organic&amp;utm_referer=yandex.ru&amp;utm_startpage=kontur.ru%2Farticles%2F2355&amp;utm_orderpage=kontur.ru%2Farticles%2F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2023-03-03T19:11:00Z</dcterms:created>
  <dcterms:modified xsi:type="dcterms:W3CDTF">2023-03-03T19:11:00Z</dcterms:modified>
</cp:coreProperties>
</file>