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A7" w:rsidRDefault="00C22200" w:rsidP="00C22200">
      <w:pPr>
        <w:ind w:firstLine="0"/>
        <w:jc w:val="center"/>
        <w:rPr>
          <w:b/>
          <w:sz w:val="24"/>
          <w:szCs w:val="24"/>
        </w:rPr>
      </w:pPr>
      <w:bookmarkStart w:id="0" w:name="_GoBack"/>
      <w:r w:rsidRPr="00C22200">
        <w:rPr>
          <w:b/>
          <w:sz w:val="24"/>
          <w:szCs w:val="24"/>
        </w:rPr>
        <w:t>Сравнение вариантов перевозки угля в контейнерах и полувагонах</w:t>
      </w:r>
    </w:p>
    <w:bookmarkEnd w:id="0"/>
    <w:p w:rsidR="00C22200" w:rsidRDefault="00C22200" w:rsidP="00C22200">
      <w:pPr>
        <w:ind w:firstLine="0"/>
        <w:jc w:val="center"/>
        <w:rPr>
          <w:b/>
          <w:i/>
          <w:sz w:val="24"/>
          <w:szCs w:val="24"/>
        </w:rPr>
      </w:pPr>
      <w:r w:rsidRPr="00C22200">
        <w:rPr>
          <w:b/>
          <w:i/>
          <w:sz w:val="24"/>
          <w:szCs w:val="24"/>
        </w:rPr>
        <w:t>Фролова А.М.</w:t>
      </w:r>
    </w:p>
    <w:p w:rsidR="00C22200" w:rsidRPr="00C22200" w:rsidRDefault="00C22200" w:rsidP="00C22200">
      <w:pPr>
        <w:ind w:firstLine="0"/>
        <w:jc w:val="center"/>
        <w:rPr>
          <w:i/>
          <w:sz w:val="24"/>
          <w:szCs w:val="24"/>
        </w:rPr>
      </w:pPr>
      <w:r w:rsidRPr="00C22200">
        <w:rPr>
          <w:i/>
          <w:sz w:val="24"/>
          <w:szCs w:val="24"/>
        </w:rPr>
        <w:t>Студент</w:t>
      </w:r>
    </w:p>
    <w:p w:rsidR="00C22200" w:rsidRDefault="00C22200" w:rsidP="00C22200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Сибирский государственный университет путей сообщения,</w:t>
      </w:r>
    </w:p>
    <w:p w:rsidR="00C22200" w:rsidRPr="00C22200" w:rsidRDefault="00C22200" w:rsidP="00C22200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Факультет Управление процессами перевозок, Новосибирск, Россия</w:t>
      </w:r>
    </w:p>
    <w:p w:rsidR="006C75F0" w:rsidRPr="007F2D64" w:rsidRDefault="00C22200" w:rsidP="00C22200">
      <w:pPr>
        <w:ind w:firstLine="0"/>
        <w:jc w:val="center"/>
        <w:rPr>
          <w:sz w:val="24"/>
          <w:szCs w:val="24"/>
        </w:rPr>
      </w:pPr>
      <w:r w:rsidRPr="00C22200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7F2D6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C22200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7F2D6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Frolova</w:t>
      </w:r>
      <w:proofErr w:type="spellEnd"/>
      <w:r w:rsidRPr="007F2D6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2009@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ngs</w:t>
      </w:r>
      <w:proofErr w:type="spellEnd"/>
      <w:r w:rsidRPr="007F2D6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ru</w:t>
      </w:r>
      <w:proofErr w:type="spellEnd"/>
    </w:p>
    <w:p w:rsidR="006C75F0" w:rsidRPr="007F2D64" w:rsidRDefault="006C75F0" w:rsidP="006C75F0">
      <w:pPr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Актуальность темы перевозок грузов железнодорожным транспортом на сегодняшний день высока: развитие получила новая инициатива – перевозка угля в контейнерах, а также других насыпных, навалочных и наливных грузов.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Объемы контейнерных перевозок угля постоянно растут в соответствии с потребностями клиентов. </w:t>
      </w:r>
      <w:bookmarkStart w:id="1" w:name="_Hlk128927348"/>
      <w:r w:rsidRPr="00C22200">
        <w:rPr>
          <w:rFonts w:cs="Times New Roman"/>
          <w:sz w:val="24"/>
          <w:szCs w:val="24"/>
        </w:rPr>
        <w:t xml:space="preserve">Экспорт Российского угля </w:t>
      </w:r>
      <w:bookmarkEnd w:id="1"/>
      <w:r w:rsidRPr="00C22200">
        <w:rPr>
          <w:rFonts w:cs="Times New Roman"/>
          <w:sz w:val="24"/>
          <w:szCs w:val="24"/>
        </w:rPr>
        <w:t xml:space="preserve">в 2022 году составил 95,7 млн. т.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Постоянным экономическим партнером для нашей страны является Китай, с которым динамика взаимной торговли непрерывно растет. Наибольший объем экспорта приходится на каменный уголь из Забайкальского края в КНР.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В условиях </w:t>
      </w:r>
      <w:proofErr w:type="spellStart"/>
      <w:r w:rsidRPr="00C22200">
        <w:rPr>
          <w:rFonts w:cs="Times New Roman"/>
          <w:sz w:val="24"/>
          <w:szCs w:val="24"/>
        </w:rPr>
        <w:t>коронавирусных</w:t>
      </w:r>
      <w:proofErr w:type="spellEnd"/>
      <w:r w:rsidRPr="00C22200">
        <w:rPr>
          <w:rFonts w:cs="Times New Roman"/>
          <w:sz w:val="24"/>
          <w:szCs w:val="24"/>
        </w:rPr>
        <w:t xml:space="preserve"> ограничений взаимные отношения РФ и КНР строились только по единственной согласованной китайской стороной технологии – обмен контейнерами. Первоначально использовалась технология перевозки контейнеров в полувагонах в следствие недостаточного парка </w:t>
      </w:r>
      <w:proofErr w:type="spellStart"/>
      <w:r w:rsidRPr="00C22200">
        <w:rPr>
          <w:rFonts w:cs="Times New Roman"/>
          <w:sz w:val="24"/>
          <w:szCs w:val="24"/>
        </w:rPr>
        <w:t>фитинговых</w:t>
      </w:r>
      <w:proofErr w:type="spellEnd"/>
      <w:r w:rsidRPr="00C22200">
        <w:rPr>
          <w:rFonts w:cs="Times New Roman"/>
          <w:sz w:val="24"/>
          <w:szCs w:val="24"/>
        </w:rPr>
        <w:t xml:space="preserve"> платформ для транспортировки контейнеров. Ее использование экономит время на доставку грузов за счет ускоренной технологии погрузки и движения поезда без переработки в пути следования [4]. После передачи контейнеров в пункте назначения, для исключения порожнего пробега полувагонов на станцию оборота, они загружаются грузом и проследуют гружеными в обратном направлении.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Однако разрешение использовать полувагоны под перевозку контейнеров отрицательно сказываются на развитии вагоностроительной отрасли. При этом с 2014 года заказы на </w:t>
      </w:r>
      <w:proofErr w:type="spellStart"/>
      <w:r w:rsidRPr="00C22200">
        <w:rPr>
          <w:rFonts w:cs="Times New Roman"/>
          <w:sz w:val="24"/>
          <w:szCs w:val="24"/>
        </w:rPr>
        <w:t>фитинговые</w:t>
      </w:r>
      <w:proofErr w:type="spellEnd"/>
      <w:r w:rsidRPr="00C22200">
        <w:rPr>
          <w:rFonts w:cs="Times New Roman"/>
          <w:sz w:val="24"/>
          <w:szCs w:val="24"/>
        </w:rPr>
        <w:t xml:space="preserve"> платформы существенно возросли.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Как подчеркивает компания </w:t>
      </w:r>
      <w:proofErr w:type="spellStart"/>
      <w:r w:rsidRPr="00C22200">
        <w:rPr>
          <w:rFonts w:cs="Times New Roman"/>
          <w:sz w:val="24"/>
          <w:szCs w:val="24"/>
        </w:rPr>
        <w:t>Global</w:t>
      </w:r>
      <w:proofErr w:type="spellEnd"/>
      <w:r w:rsidRPr="00C22200">
        <w:rPr>
          <w:rFonts w:cs="Times New Roman"/>
          <w:sz w:val="24"/>
          <w:szCs w:val="24"/>
        </w:rPr>
        <w:t xml:space="preserve"> </w:t>
      </w:r>
      <w:proofErr w:type="spellStart"/>
      <w:r w:rsidRPr="00C22200">
        <w:rPr>
          <w:rFonts w:cs="Times New Roman"/>
          <w:sz w:val="24"/>
          <w:szCs w:val="24"/>
        </w:rPr>
        <w:t>Ports</w:t>
      </w:r>
      <w:proofErr w:type="spellEnd"/>
      <w:r w:rsidRPr="00C22200">
        <w:rPr>
          <w:rFonts w:cs="Times New Roman"/>
          <w:sz w:val="24"/>
          <w:szCs w:val="24"/>
        </w:rPr>
        <w:t>: «Полувагоны, в отличие от специализированных железнодорожных платформ, не приспособлены для перевозки контейнеров». Такая технология «является более дорогой, менее эффективной по скорости, представляет собой больший риск повреждения грузов. Считаем данную меру неэффективной» [5].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Эти факторы послужили предпосылкой для осуществления перевозки каменных грузов при помощи контейнеров </w:t>
      </w:r>
      <w:proofErr w:type="spellStart"/>
      <w:r w:rsidRPr="00C22200">
        <w:rPr>
          <w:rFonts w:cs="Times New Roman"/>
          <w:sz w:val="24"/>
          <w:szCs w:val="24"/>
        </w:rPr>
        <w:t>Open</w:t>
      </w:r>
      <w:proofErr w:type="spellEnd"/>
      <w:r w:rsidRPr="00C22200">
        <w:rPr>
          <w:rFonts w:cs="Times New Roman"/>
          <w:sz w:val="24"/>
          <w:szCs w:val="24"/>
        </w:rPr>
        <w:t xml:space="preserve"> </w:t>
      </w:r>
      <w:proofErr w:type="spellStart"/>
      <w:r w:rsidRPr="00C22200">
        <w:rPr>
          <w:rFonts w:cs="Times New Roman"/>
          <w:sz w:val="24"/>
          <w:szCs w:val="24"/>
        </w:rPr>
        <w:t>top</w:t>
      </w:r>
      <w:proofErr w:type="spellEnd"/>
      <w:r w:rsidRPr="00C22200">
        <w:rPr>
          <w:rFonts w:cs="Times New Roman"/>
          <w:sz w:val="24"/>
          <w:szCs w:val="24"/>
        </w:rPr>
        <w:t xml:space="preserve">, позволяющих осуществлять загрузку насыпных грузов через открывающуюся крышу и решающих проблему перевалки на пограничных станциях изменения ширины колеи. Вагоны-платформы для осуществления таких перевозок </w:t>
      </w:r>
      <w:proofErr w:type="spellStart"/>
      <w:r w:rsidRPr="00C22200">
        <w:rPr>
          <w:rFonts w:cs="Times New Roman"/>
          <w:sz w:val="24"/>
          <w:szCs w:val="24"/>
        </w:rPr>
        <w:t>предоставяются</w:t>
      </w:r>
      <w:proofErr w:type="spellEnd"/>
      <w:r w:rsidRPr="00C22200">
        <w:rPr>
          <w:rFonts w:cs="Times New Roman"/>
          <w:sz w:val="24"/>
          <w:szCs w:val="24"/>
        </w:rPr>
        <w:t xml:space="preserve"> АО «ФГК».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Не смотря на ряд преимуществ перевозки угля в контейнерах, таких как более высокий уровень сохранности перевозки, минимальные затраты времени на перегруз контейнеров, исключение необходимости перевалки груза в железнодорожный подвижной состав более узкой колеи, что решает проблему смерзшегося </w:t>
      </w:r>
      <w:r w:rsidRPr="00C22200">
        <w:rPr>
          <w:rFonts w:cs="Times New Roman"/>
          <w:bCs/>
          <w:sz w:val="24"/>
          <w:szCs w:val="24"/>
        </w:rPr>
        <w:t>угля</w:t>
      </w:r>
      <w:r w:rsidRPr="00C22200">
        <w:rPr>
          <w:rFonts w:cs="Times New Roman"/>
          <w:sz w:val="24"/>
          <w:szCs w:val="24"/>
        </w:rPr>
        <w:t>, имеются недостатки данной технологии: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 - средняя масса контейнерного поезда ниже, чем установленная норма массы грузовых поездов;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- не в полной мере используется мощность поездного локомотива;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- необходима дополнительная погрузочная техника на грузовых дворах и модернизация площадок для отгрузки продукции в цехах и на станциях.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Для оценки эффективности перевозки экспортного угля в Китай производится сравнение следующих вариантов отправки: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Вариант 1 – </w:t>
      </w:r>
      <w:proofErr w:type="spellStart"/>
      <w:r w:rsidRPr="00C22200">
        <w:rPr>
          <w:rFonts w:cs="Times New Roman"/>
          <w:sz w:val="24"/>
          <w:szCs w:val="24"/>
        </w:rPr>
        <w:t>фи</w:t>
      </w:r>
      <w:r w:rsidR="007F2D64">
        <w:rPr>
          <w:rFonts w:cs="Times New Roman"/>
          <w:sz w:val="24"/>
          <w:szCs w:val="24"/>
        </w:rPr>
        <w:t>тинговой</w:t>
      </w:r>
      <w:proofErr w:type="spellEnd"/>
      <w:r w:rsidR="007F2D64">
        <w:rPr>
          <w:rFonts w:cs="Times New Roman"/>
          <w:sz w:val="24"/>
          <w:szCs w:val="24"/>
        </w:rPr>
        <w:t xml:space="preserve"> платформой с 40-футовым</w:t>
      </w:r>
      <w:r w:rsidRPr="00C22200">
        <w:rPr>
          <w:rFonts w:cs="Times New Roman"/>
          <w:sz w:val="24"/>
          <w:szCs w:val="24"/>
        </w:rPr>
        <w:t xml:space="preserve"> контейнером;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lastRenderedPageBreak/>
        <w:t xml:space="preserve">Вариант 2 – </w:t>
      </w:r>
      <w:proofErr w:type="spellStart"/>
      <w:r w:rsidRPr="00C22200">
        <w:rPr>
          <w:rFonts w:cs="Times New Roman"/>
          <w:sz w:val="24"/>
          <w:szCs w:val="24"/>
        </w:rPr>
        <w:t>фитинговой</w:t>
      </w:r>
      <w:proofErr w:type="spellEnd"/>
      <w:r w:rsidRPr="00C22200">
        <w:rPr>
          <w:rFonts w:cs="Times New Roman"/>
          <w:sz w:val="24"/>
          <w:szCs w:val="24"/>
        </w:rPr>
        <w:t xml:space="preserve"> платформой с двумя 20-футовыми контейнерами;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bookmarkStart w:id="2" w:name="_Hlk130202300"/>
      <w:r w:rsidRPr="00C22200">
        <w:rPr>
          <w:rFonts w:cs="Times New Roman"/>
          <w:sz w:val="24"/>
          <w:szCs w:val="24"/>
        </w:rPr>
        <w:t>Вариант 3</w:t>
      </w:r>
      <w:bookmarkEnd w:id="2"/>
      <w:r w:rsidRPr="00C22200">
        <w:rPr>
          <w:rFonts w:cs="Times New Roman"/>
          <w:sz w:val="24"/>
          <w:szCs w:val="24"/>
        </w:rPr>
        <w:t xml:space="preserve"> – полувагоном завода-изготовителя «Алтай-вагон»;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Вариант 4 – полувагоном завода-изготовителя «Тихвинский вагоностроительный завод».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Ограничением при оценке эффективности служат установленные на перспективу масса грузовых поездов 7100 т и длина поезда 71 </w:t>
      </w:r>
      <w:proofErr w:type="spellStart"/>
      <w:r w:rsidRPr="00C22200">
        <w:rPr>
          <w:rFonts w:cs="Times New Roman"/>
          <w:sz w:val="24"/>
          <w:szCs w:val="24"/>
        </w:rPr>
        <w:t>усл</w:t>
      </w:r>
      <w:proofErr w:type="spellEnd"/>
      <w:r w:rsidRPr="00C22200">
        <w:rPr>
          <w:rFonts w:cs="Times New Roman"/>
          <w:sz w:val="24"/>
          <w:szCs w:val="24"/>
        </w:rPr>
        <w:t xml:space="preserve">. вагон. 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Рассматриваемые варианты перевозки имеют следующие технические характеристики: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bookmarkStart w:id="3" w:name="_Hlk129284967"/>
      <w:r w:rsidRPr="00C22200">
        <w:rPr>
          <w:rFonts w:cs="Times New Roman"/>
          <w:sz w:val="24"/>
          <w:szCs w:val="24"/>
        </w:rPr>
        <w:t xml:space="preserve">Вариант 1. </w:t>
      </w:r>
      <w:proofErr w:type="spellStart"/>
      <w:r w:rsidRPr="00C22200">
        <w:rPr>
          <w:rFonts w:cs="Times New Roman"/>
          <w:sz w:val="24"/>
          <w:szCs w:val="24"/>
        </w:rPr>
        <w:t>Фитинговая</w:t>
      </w:r>
      <w:proofErr w:type="spellEnd"/>
      <w:r w:rsidRPr="00C22200">
        <w:rPr>
          <w:rFonts w:cs="Times New Roman"/>
          <w:sz w:val="24"/>
          <w:szCs w:val="24"/>
        </w:rPr>
        <w:t xml:space="preserve"> платформа модели 13-9004 имеет длину по осям автосцепок равную 19,2 м, массу тары 24 т и грузоподъемность 68 т. 20-футовый контейнер </w:t>
      </w:r>
      <w:bookmarkEnd w:id="3"/>
      <w:r w:rsidRPr="00C22200">
        <w:rPr>
          <w:rFonts w:cs="Times New Roman"/>
          <w:sz w:val="24"/>
          <w:szCs w:val="24"/>
        </w:rPr>
        <w:t>имеет длину 6,58 м, массу тары 2,44 т и грузоподъемность 21,65 т.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Вариант 2. Характеристика </w:t>
      </w:r>
      <w:proofErr w:type="spellStart"/>
      <w:r w:rsidRPr="00C22200">
        <w:rPr>
          <w:rFonts w:cs="Times New Roman"/>
          <w:sz w:val="24"/>
          <w:szCs w:val="24"/>
        </w:rPr>
        <w:t>фитинговой</w:t>
      </w:r>
      <w:proofErr w:type="spellEnd"/>
      <w:r w:rsidRPr="00C22200">
        <w:rPr>
          <w:rFonts w:cs="Times New Roman"/>
          <w:sz w:val="24"/>
          <w:szCs w:val="24"/>
        </w:rPr>
        <w:t xml:space="preserve"> платформы соответствует варианту 1.  40-футовый контейнер имеет длину 12,2 м, массу тары 5 т и грузоподъемность 27,3 т.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bookmarkStart w:id="4" w:name="_Hlk129285194"/>
      <w:r w:rsidRPr="00C22200">
        <w:rPr>
          <w:rFonts w:cs="Times New Roman"/>
          <w:sz w:val="24"/>
          <w:szCs w:val="24"/>
        </w:rPr>
        <w:t xml:space="preserve">Вариант 3. Полувагон завода-изготовителя «Алтай-вагон» </w:t>
      </w:r>
      <w:bookmarkEnd w:id="4"/>
      <w:r w:rsidRPr="00C22200">
        <w:rPr>
          <w:rFonts w:cs="Times New Roman"/>
          <w:sz w:val="24"/>
          <w:szCs w:val="24"/>
        </w:rPr>
        <w:t>имеет длину по осям автосцепок равную 13,92 м, массу тары 25 т и грузоподъемность 75 т.</w:t>
      </w:r>
      <w:bookmarkStart w:id="5" w:name="_Hlk129285241"/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Вариант 4. Полувагон </w:t>
      </w:r>
      <w:bookmarkStart w:id="6" w:name="_Hlk129286068"/>
      <w:r w:rsidRPr="00C22200">
        <w:rPr>
          <w:rFonts w:cs="Times New Roman"/>
          <w:sz w:val="24"/>
          <w:szCs w:val="24"/>
        </w:rPr>
        <w:t xml:space="preserve">завода-изготовителя «Тихвинский вагоностроительный завод» </w:t>
      </w:r>
      <w:bookmarkEnd w:id="6"/>
      <w:r w:rsidRPr="00C22200">
        <w:rPr>
          <w:rFonts w:cs="Times New Roman"/>
          <w:sz w:val="24"/>
          <w:szCs w:val="24"/>
        </w:rPr>
        <w:t xml:space="preserve">имеет длину по осям </w:t>
      </w:r>
      <w:r w:rsidRPr="008A2ED4">
        <w:rPr>
          <w:rFonts w:cs="Times New Roman"/>
          <w:sz w:val="24"/>
          <w:szCs w:val="24"/>
        </w:rPr>
        <w:t>автосцепок равную 16,88 м, массу тары 33 т и грузоподъемность 117 т.</w:t>
      </w:r>
    </w:p>
    <w:bookmarkEnd w:id="5"/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>В процессе расчетов определялись два фактических параметра: число условных вагонов в составе поезда и масса состава брутто. Ограничением может выступать один или оба указанных показателя. Получены следующие результаты: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bookmarkStart w:id="7" w:name="_Hlk129849273"/>
      <w:r w:rsidRPr="008A2ED4">
        <w:rPr>
          <w:rFonts w:cs="Times New Roman"/>
          <w:sz w:val="24"/>
          <w:szCs w:val="24"/>
        </w:rPr>
        <w:t xml:space="preserve">В случае перевозки угля в одном 40-футовом контейнере, установленном на </w:t>
      </w:r>
      <w:proofErr w:type="spellStart"/>
      <w:r w:rsidRPr="008A2ED4">
        <w:rPr>
          <w:rFonts w:cs="Times New Roman"/>
          <w:sz w:val="24"/>
          <w:szCs w:val="24"/>
        </w:rPr>
        <w:t>фитинговую</w:t>
      </w:r>
      <w:proofErr w:type="spellEnd"/>
      <w:r w:rsidRPr="008A2ED4">
        <w:rPr>
          <w:rFonts w:cs="Times New Roman"/>
          <w:sz w:val="24"/>
          <w:szCs w:val="24"/>
        </w:rPr>
        <w:t xml:space="preserve"> платформу, состав поезда будет ограничен числом вагонов: 71 условный вагон (50 физических вагонов) с массой состава 2825 т брутто, масса груза составит 1365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 xml:space="preserve">В случае перевозки угля в двух 20-футовых контейнерах, установленных на </w:t>
      </w:r>
      <w:proofErr w:type="spellStart"/>
      <w:r w:rsidRPr="008A2ED4">
        <w:rPr>
          <w:rFonts w:cs="Times New Roman"/>
          <w:sz w:val="24"/>
          <w:szCs w:val="24"/>
        </w:rPr>
        <w:t>фитинговую</w:t>
      </w:r>
      <w:proofErr w:type="spellEnd"/>
      <w:r w:rsidRPr="008A2ED4">
        <w:rPr>
          <w:rFonts w:cs="Times New Roman"/>
          <w:sz w:val="24"/>
          <w:szCs w:val="24"/>
        </w:rPr>
        <w:t xml:space="preserve"> платформу, состав поезда так же будет ограничен числом вагонов: 70 условных вагонов (50 физических вагонов) с массой состава 3609 т брутто, масса груза составит 2165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 xml:space="preserve">Поезд, состоящий из полувагонов завода-изготовителя «Алтай-вагон», будет ограничен </w:t>
      </w:r>
      <w:r w:rsidR="007F2D64" w:rsidRPr="008A2ED4">
        <w:rPr>
          <w:rFonts w:cs="Times New Roman"/>
          <w:sz w:val="24"/>
          <w:szCs w:val="24"/>
        </w:rPr>
        <w:t xml:space="preserve">одновременно </w:t>
      </w:r>
      <w:r w:rsidRPr="008A2ED4">
        <w:rPr>
          <w:rFonts w:cs="Times New Roman"/>
          <w:sz w:val="24"/>
          <w:szCs w:val="24"/>
        </w:rPr>
        <w:t>массой состава и числом вагонов в составе: 71 условный вагон (71 физический вагон) с массой состава 6958 т брутто, масса груза составит 5325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 xml:space="preserve">Поезд, состоящий из </w:t>
      </w:r>
      <w:bookmarkStart w:id="8" w:name="_Hlk129286206"/>
      <w:r w:rsidRPr="008A2ED4">
        <w:rPr>
          <w:rFonts w:cs="Times New Roman"/>
          <w:sz w:val="24"/>
          <w:szCs w:val="24"/>
        </w:rPr>
        <w:t>полувагонов завода-изготовителя</w:t>
      </w:r>
      <w:bookmarkEnd w:id="8"/>
      <w:r w:rsidRPr="008A2ED4">
        <w:rPr>
          <w:rFonts w:cs="Times New Roman"/>
          <w:sz w:val="24"/>
          <w:szCs w:val="24"/>
        </w:rPr>
        <w:t xml:space="preserve"> «Тихвинский вагоностроительный завод», будет ограничен массой состава: 61 условный вагон (50 физических вагонов) с массой состава 7000 т брутто, масса груза составит 5850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bookmarkStart w:id="9" w:name="_Hlk130201335"/>
      <w:bookmarkEnd w:id="7"/>
      <w:r w:rsidRPr="008A2ED4">
        <w:rPr>
          <w:rFonts w:cs="Times New Roman"/>
          <w:sz w:val="24"/>
          <w:szCs w:val="24"/>
        </w:rPr>
        <w:t xml:space="preserve">Полученные результаты позволяют сделать вывод, что наиболее эффективным является вариант перевозки угля в полувагонах завода-изготовителя «Алтай-вагон» - достигается наибольшая провозная способность 1,94 млн т нетто в год, приходящиеся на один грузовой поезд в груженом направлении, по сравнению с другими вариантами отправок. В случае возможности экспорта угля в КНДР только в контейнерах, вариант перевозки в двух 20-футовых, установленных на </w:t>
      </w:r>
      <w:proofErr w:type="spellStart"/>
      <w:r w:rsidRPr="008A2ED4">
        <w:rPr>
          <w:rFonts w:cs="Times New Roman"/>
          <w:sz w:val="24"/>
          <w:szCs w:val="24"/>
        </w:rPr>
        <w:t>фитинговой</w:t>
      </w:r>
      <w:proofErr w:type="spellEnd"/>
      <w:r w:rsidRPr="008A2ED4">
        <w:rPr>
          <w:rFonts w:cs="Times New Roman"/>
          <w:sz w:val="24"/>
          <w:szCs w:val="24"/>
        </w:rPr>
        <w:t xml:space="preserve"> платформе, позволит достигнуть провозной способности 0,79 млн т нетто в год, приходящиеся на один грузовой поезд в груженом направлении.</w:t>
      </w:r>
    </w:p>
    <w:bookmarkEnd w:id="9"/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>Далее в качестве ограничения принята исклю</w:t>
      </w:r>
      <w:r w:rsidR="007F2D64" w:rsidRPr="008A2ED4">
        <w:rPr>
          <w:rFonts w:cs="Times New Roman"/>
          <w:sz w:val="24"/>
          <w:szCs w:val="24"/>
        </w:rPr>
        <w:t>чительно масса состава равная 71</w:t>
      </w:r>
      <w:r w:rsidRPr="008A2ED4">
        <w:rPr>
          <w:rFonts w:cs="Times New Roman"/>
          <w:sz w:val="24"/>
          <w:szCs w:val="24"/>
        </w:rPr>
        <w:t>00 т, позволяющая наиболее полно использовать мощность тягового подвижного состава. Получены следующие результаты: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>В случае перевозки угля в одном 40-футов</w:t>
      </w:r>
      <w:r w:rsidR="007F2D64" w:rsidRPr="008A2ED4">
        <w:rPr>
          <w:rFonts w:cs="Times New Roman"/>
          <w:sz w:val="24"/>
          <w:szCs w:val="24"/>
        </w:rPr>
        <w:t>ом контейнере, масса поезда 7063</w:t>
      </w:r>
      <w:r w:rsidRPr="008A2ED4">
        <w:rPr>
          <w:rFonts w:cs="Times New Roman"/>
          <w:sz w:val="24"/>
          <w:szCs w:val="24"/>
        </w:rPr>
        <w:t xml:space="preserve"> т будет достигнута за счет включения 175 условных вагонов (125 физических вагонов</w:t>
      </w:r>
      <w:r w:rsidR="007F2D64" w:rsidRPr="008A2ED4">
        <w:rPr>
          <w:rFonts w:cs="Times New Roman"/>
          <w:sz w:val="24"/>
          <w:szCs w:val="24"/>
        </w:rPr>
        <w:t>), масса груза составит 3413</w:t>
      </w:r>
      <w:r w:rsidRPr="008A2ED4">
        <w:rPr>
          <w:rFonts w:cs="Times New Roman"/>
          <w:sz w:val="24"/>
          <w:szCs w:val="24"/>
        </w:rPr>
        <w:t xml:space="preserve"> т нетто.</w:t>
      </w:r>
      <w:bookmarkStart w:id="10" w:name="_Hlk129849731"/>
    </w:p>
    <w:bookmarkEnd w:id="10"/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 xml:space="preserve">В случае перевозки угля в двух 20-футовых контейнерах, установленных на </w:t>
      </w:r>
      <w:proofErr w:type="spellStart"/>
      <w:r w:rsidRPr="008A2ED4">
        <w:rPr>
          <w:rFonts w:cs="Times New Roman"/>
          <w:sz w:val="24"/>
          <w:szCs w:val="24"/>
        </w:rPr>
        <w:t>фитинговую</w:t>
      </w:r>
      <w:proofErr w:type="spellEnd"/>
      <w:r w:rsidRPr="008A2ED4">
        <w:rPr>
          <w:rFonts w:cs="Times New Roman"/>
          <w:sz w:val="24"/>
          <w:szCs w:val="24"/>
        </w:rPr>
        <w:t xml:space="preserve"> платформу, в составе поезда будет </w:t>
      </w:r>
      <w:r w:rsidR="00E135EE" w:rsidRPr="008A2ED4">
        <w:rPr>
          <w:rFonts w:cs="Times New Roman"/>
          <w:sz w:val="24"/>
          <w:szCs w:val="24"/>
        </w:rPr>
        <w:t>137</w:t>
      </w:r>
      <w:r w:rsidRPr="008A2ED4">
        <w:rPr>
          <w:rFonts w:cs="Times New Roman"/>
          <w:sz w:val="24"/>
          <w:szCs w:val="24"/>
        </w:rPr>
        <w:t xml:space="preserve"> условных вагонов (</w:t>
      </w:r>
      <w:r w:rsidR="00E135EE" w:rsidRPr="008A2ED4">
        <w:rPr>
          <w:rFonts w:cs="Times New Roman"/>
          <w:sz w:val="24"/>
          <w:szCs w:val="24"/>
        </w:rPr>
        <w:t>98</w:t>
      </w:r>
      <w:r w:rsidRPr="008A2ED4">
        <w:rPr>
          <w:rFonts w:cs="Times New Roman"/>
          <w:sz w:val="24"/>
          <w:szCs w:val="24"/>
        </w:rPr>
        <w:t xml:space="preserve"> физических вагонов</w:t>
      </w:r>
      <w:r w:rsidR="00E135EE" w:rsidRPr="008A2ED4">
        <w:rPr>
          <w:rFonts w:cs="Times New Roman"/>
          <w:sz w:val="24"/>
          <w:szCs w:val="24"/>
        </w:rPr>
        <w:t>)</w:t>
      </w:r>
      <w:r w:rsidRPr="008A2ED4">
        <w:rPr>
          <w:rFonts w:cs="Times New Roman"/>
          <w:sz w:val="24"/>
          <w:szCs w:val="24"/>
        </w:rPr>
        <w:t xml:space="preserve"> с массой </w:t>
      </w:r>
      <w:r w:rsidR="00E135EE" w:rsidRPr="008A2ED4">
        <w:rPr>
          <w:rFonts w:cs="Times New Roman"/>
          <w:sz w:val="24"/>
          <w:szCs w:val="24"/>
        </w:rPr>
        <w:t xml:space="preserve">состава 7074 т брутто и массой </w:t>
      </w:r>
      <w:r w:rsidRPr="008A2ED4">
        <w:rPr>
          <w:rFonts w:cs="Times New Roman"/>
          <w:sz w:val="24"/>
          <w:szCs w:val="24"/>
        </w:rPr>
        <w:t xml:space="preserve">груза </w:t>
      </w:r>
      <w:r w:rsidR="00E135EE" w:rsidRPr="008A2ED4">
        <w:rPr>
          <w:rFonts w:cs="Times New Roman"/>
          <w:sz w:val="24"/>
          <w:szCs w:val="24"/>
        </w:rPr>
        <w:t>4243</w:t>
      </w:r>
      <w:r w:rsidRPr="008A2ED4">
        <w:rPr>
          <w:rFonts w:cs="Times New Roman"/>
          <w:sz w:val="24"/>
          <w:szCs w:val="24"/>
        </w:rPr>
        <w:t xml:space="preserve">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lastRenderedPageBreak/>
        <w:t xml:space="preserve">Однако, в случае перевозки по двум вышеуказанным вариантам потребуется применение технологии формирования и пропуска объединенных контейнерных поездов, состоящих из одного поездного локомотива в голове поезда и двух контейнерных составов. Существенным ограничением для данной технологии является наличие </w:t>
      </w:r>
      <w:proofErr w:type="spellStart"/>
      <w:proofErr w:type="gramStart"/>
      <w:r w:rsidRPr="008A2ED4">
        <w:rPr>
          <w:rFonts w:cs="Times New Roman"/>
          <w:sz w:val="24"/>
          <w:szCs w:val="24"/>
        </w:rPr>
        <w:t>приемо</w:t>
      </w:r>
      <w:proofErr w:type="spellEnd"/>
      <w:r w:rsidRPr="008A2ED4">
        <w:rPr>
          <w:rFonts w:cs="Times New Roman"/>
          <w:sz w:val="24"/>
          <w:szCs w:val="24"/>
        </w:rPr>
        <w:t>-отправочных</w:t>
      </w:r>
      <w:proofErr w:type="gramEnd"/>
      <w:r w:rsidRPr="008A2ED4">
        <w:rPr>
          <w:rFonts w:cs="Times New Roman"/>
          <w:sz w:val="24"/>
          <w:szCs w:val="24"/>
        </w:rPr>
        <w:t xml:space="preserve"> путей достаточной длины для формирования на станции отправления, проведения технических и коммерческих операций на технических станциях, расформирования на станции окончания маршрута следования или пограничной станции передачи на территорию соседнего государства. 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 xml:space="preserve">Поезд, состоящий из полувагонов завода-изготовителя «Алтай-вагон», будет удовлетворять условию оптимальности числа вагонов в составе и иметь 71 условный вагон (71 физический вагон), масса </w:t>
      </w:r>
      <w:r w:rsidR="00E135EE" w:rsidRPr="008A2ED4">
        <w:rPr>
          <w:rFonts w:cs="Times New Roman"/>
          <w:sz w:val="24"/>
          <w:szCs w:val="24"/>
        </w:rPr>
        <w:t xml:space="preserve">состава 6958 т брутто и масса </w:t>
      </w:r>
      <w:r w:rsidRPr="008A2ED4">
        <w:rPr>
          <w:rFonts w:cs="Times New Roman"/>
          <w:sz w:val="24"/>
          <w:szCs w:val="24"/>
        </w:rPr>
        <w:t>груза 5325 т нетто.</w:t>
      </w:r>
    </w:p>
    <w:p w:rsidR="00DD409B" w:rsidRPr="008A2ED4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>Поезд, состоящий из полувагонов завода-изготовителя «Тихвинский вагоностроительный завод», также обеспечит перевозку 61 условного вагона (50 физических вагонов), как и при начальных условиях, масса груза составит 5850 т нетто.</w:t>
      </w:r>
    </w:p>
    <w:p w:rsidR="00DD409B" w:rsidRPr="00C22200" w:rsidRDefault="00DD409B" w:rsidP="00DD409B">
      <w:pPr>
        <w:ind w:firstLine="709"/>
        <w:rPr>
          <w:rFonts w:cs="Times New Roman"/>
          <w:sz w:val="24"/>
          <w:szCs w:val="24"/>
        </w:rPr>
      </w:pPr>
      <w:r w:rsidRPr="008A2ED4">
        <w:rPr>
          <w:rFonts w:cs="Times New Roman"/>
          <w:sz w:val="24"/>
          <w:szCs w:val="24"/>
        </w:rPr>
        <w:t>На основании проведенного анализа следует вывод, что контейнерные поезда способны удовлетворить з</w:t>
      </w:r>
      <w:r w:rsidR="00E135EE" w:rsidRPr="008A2ED4">
        <w:rPr>
          <w:rFonts w:cs="Times New Roman"/>
          <w:sz w:val="24"/>
          <w:szCs w:val="24"/>
        </w:rPr>
        <w:t>аданному условию массы поезда 71</w:t>
      </w:r>
      <w:r w:rsidRPr="008A2ED4">
        <w:rPr>
          <w:rFonts w:cs="Times New Roman"/>
          <w:sz w:val="24"/>
          <w:szCs w:val="24"/>
        </w:rPr>
        <w:t>00 т и обеспечить наиболее полное использование мощности локомотива при условии ввода в обращение объединенных контейнерных поездов.</w:t>
      </w:r>
      <w:r w:rsidRPr="00C22200">
        <w:rPr>
          <w:rFonts w:cs="Times New Roman"/>
          <w:sz w:val="24"/>
          <w:szCs w:val="24"/>
        </w:rPr>
        <w:t xml:space="preserve"> </w:t>
      </w:r>
    </w:p>
    <w:p w:rsidR="005313A1" w:rsidRPr="00C22200" w:rsidRDefault="005313A1" w:rsidP="00564E3B">
      <w:pPr>
        <w:rPr>
          <w:sz w:val="24"/>
          <w:szCs w:val="24"/>
        </w:rPr>
      </w:pPr>
    </w:p>
    <w:p w:rsidR="002E4A8F" w:rsidRPr="00C22200" w:rsidRDefault="002E4A8F" w:rsidP="00C22200">
      <w:pPr>
        <w:ind w:firstLine="0"/>
        <w:jc w:val="center"/>
        <w:rPr>
          <w:b/>
          <w:sz w:val="24"/>
          <w:szCs w:val="24"/>
        </w:rPr>
      </w:pPr>
      <w:r w:rsidRPr="00C22200">
        <w:rPr>
          <w:b/>
          <w:sz w:val="24"/>
          <w:szCs w:val="24"/>
        </w:rPr>
        <w:t>Список литературы</w:t>
      </w:r>
    </w:p>
    <w:p w:rsidR="00A67647" w:rsidRPr="00C22200" w:rsidRDefault="00A67647" w:rsidP="00A67647">
      <w:pPr>
        <w:ind w:firstLine="709"/>
        <w:rPr>
          <w:sz w:val="24"/>
          <w:szCs w:val="24"/>
        </w:rPr>
      </w:pPr>
      <w:r w:rsidRPr="00C22200">
        <w:rPr>
          <w:sz w:val="24"/>
          <w:szCs w:val="24"/>
        </w:rPr>
        <w:t>1.</w:t>
      </w:r>
      <w:r w:rsidR="00443766" w:rsidRPr="00C22200">
        <w:rPr>
          <w:rFonts w:eastAsia="Calibri" w:cs="Times New Roman"/>
          <w:sz w:val="24"/>
          <w:szCs w:val="24"/>
        </w:rPr>
        <w:t xml:space="preserve"> Итоги работы угольной промышленности России за январь – июнь 2022 года</w:t>
      </w:r>
      <w:r w:rsidRPr="00C22200">
        <w:rPr>
          <w:sz w:val="24"/>
          <w:szCs w:val="24"/>
        </w:rPr>
        <w:t xml:space="preserve">: </w:t>
      </w:r>
      <w:r w:rsidR="00443766" w:rsidRPr="00C22200">
        <w:rPr>
          <w:rFonts w:eastAsia="Calibri" w:cs="Times New Roman"/>
          <w:sz w:val="24"/>
          <w:szCs w:val="24"/>
        </w:rPr>
        <w:t xml:space="preserve">Фонд </w:t>
      </w:r>
      <w:proofErr w:type="spellStart"/>
      <w:r w:rsidR="00443766" w:rsidRPr="00C22200">
        <w:rPr>
          <w:rFonts w:eastAsia="Calibri" w:cs="Times New Roman"/>
          <w:sz w:val="24"/>
          <w:szCs w:val="24"/>
        </w:rPr>
        <w:t>Росконгресс</w:t>
      </w:r>
      <w:proofErr w:type="spellEnd"/>
      <w:r w:rsidRPr="00C22200">
        <w:rPr>
          <w:sz w:val="24"/>
          <w:szCs w:val="24"/>
        </w:rPr>
        <w:t xml:space="preserve">. – </w:t>
      </w:r>
      <w:r w:rsidR="00443766" w:rsidRPr="00C22200">
        <w:rPr>
          <w:rFonts w:eastAsia="Calibri" w:cs="Times New Roman"/>
          <w:sz w:val="24"/>
          <w:szCs w:val="24"/>
        </w:rPr>
        <w:t>URL: https://roscongress.org/ (дата обращения: 26.02.2023).</w:t>
      </w:r>
      <w:r w:rsidR="00443766" w:rsidRPr="00C22200">
        <w:rPr>
          <w:rStyle w:val="ac"/>
          <w:sz w:val="24"/>
          <w:szCs w:val="24"/>
        </w:rPr>
        <w:t xml:space="preserve"> </w:t>
      </w:r>
      <w:r w:rsidRPr="00C22200">
        <w:rPr>
          <w:rStyle w:val="ac"/>
          <w:sz w:val="24"/>
          <w:szCs w:val="24"/>
        </w:rPr>
        <w:t>–</w:t>
      </w:r>
      <w:r w:rsidR="00443766" w:rsidRPr="00C22200">
        <w:rPr>
          <w:rStyle w:val="ac"/>
          <w:sz w:val="24"/>
          <w:szCs w:val="24"/>
        </w:rPr>
        <w:t xml:space="preserve"> </w:t>
      </w:r>
      <w:proofErr w:type="gramStart"/>
      <w:r w:rsidRPr="00C22200">
        <w:rPr>
          <w:rStyle w:val="ac"/>
          <w:sz w:val="24"/>
          <w:szCs w:val="24"/>
        </w:rPr>
        <w:t>Текст :</w:t>
      </w:r>
      <w:proofErr w:type="gramEnd"/>
      <w:r w:rsidRPr="00C22200">
        <w:rPr>
          <w:rStyle w:val="ac"/>
          <w:sz w:val="24"/>
          <w:szCs w:val="24"/>
        </w:rPr>
        <w:t xml:space="preserve"> электронный.</w:t>
      </w:r>
    </w:p>
    <w:p w:rsidR="00A67647" w:rsidRPr="00C22200" w:rsidRDefault="00A67647" w:rsidP="005F69EC">
      <w:pPr>
        <w:ind w:firstLine="709"/>
        <w:rPr>
          <w:color w:val="FF0000"/>
          <w:sz w:val="24"/>
          <w:szCs w:val="24"/>
        </w:rPr>
      </w:pPr>
      <w:r w:rsidRPr="00C22200">
        <w:rPr>
          <w:color w:val="000000" w:themeColor="text1"/>
          <w:sz w:val="24"/>
          <w:szCs w:val="24"/>
        </w:rPr>
        <w:t>2. </w:t>
      </w:r>
      <w:bookmarkStart w:id="11" w:name="_Hlk129114808"/>
      <w:r w:rsidR="005F69EC" w:rsidRPr="00C22200">
        <w:rPr>
          <w:color w:val="000000" w:themeColor="text1"/>
          <w:sz w:val="24"/>
          <w:szCs w:val="24"/>
        </w:rPr>
        <w:t>Перевозка угля и других насыпных грузов в контейнерах: новая универсальность или новые сложности</w:t>
      </w:r>
      <w:proofErr w:type="gramStart"/>
      <w:r w:rsidR="005F69EC" w:rsidRPr="00C22200">
        <w:rPr>
          <w:color w:val="000000" w:themeColor="text1"/>
          <w:sz w:val="24"/>
          <w:szCs w:val="24"/>
        </w:rPr>
        <w:t>. :</w:t>
      </w:r>
      <w:proofErr w:type="gramEnd"/>
      <w:r w:rsidRPr="00C22200">
        <w:rPr>
          <w:color w:val="000000" w:themeColor="text1"/>
          <w:sz w:val="24"/>
          <w:szCs w:val="24"/>
        </w:rPr>
        <w:t xml:space="preserve"> Информационное агентство </w:t>
      </w:r>
      <w:r w:rsidRPr="00C22200">
        <w:rPr>
          <w:color w:val="000000"/>
          <w:sz w:val="24"/>
          <w:szCs w:val="24"/>
        </w:rPr>
        <w:t>«РЖД-</w:t>
      </w:r>
      <w:proofErr w:type="spellStart"/>
      <w:r w:rsidRPr="00C22200">
        <w:rPr>
          <w:color w:val="000000"/>
          <w:sz w:val="24"/>
          <w:szCs w:val="24"/>
        </w:rPr>
        <w:t>Партнер.РУ</w:t>
      </w:r>
      <w:proofErr w:type="spellEnd"/>
      <w:r w:rsidRPr="00C22200">
        <w:rPr>
          <w:color w:val="000000"/>
          <w:sz w:val="24"/>
          <w:szCs w:val="24"/>
        </w:rPr>
        <w:t xml:space="preserve">». – </w:t>
      </w:r>
      <w:r w:rsidRPr="00C22200">
        <w:rPr>
          <w:color w:val="000000"/>
          <w:sz w:val="24"/>
          <w:szCs w:val="24"/>
          <w:lang w:val="en-US"/>
        </w:rPr>
        <w:t>URL</w:t>
      </w:r>
      <w:r w:rsidRPr="00C22200">
        <w:rPr>
          <w:color w:val="000000"/>
          <w:sz w:val="24"/>
          <w:szCs w:val="24"/>
        </w:rPr>
        <w:t xml:space="preserve">: </w:t>
      </w:r>
      <w:r w:rsidR="005F69EC" w:rsidRPr="00C22200">
        <w:rPr>
          <w:sz w:val="24"/>
          <w:szCs w:val="24"/>
        </w:rPr>
        <w:t>:</w:t>
      </w:r>
      <w:r w:rsidR="005F69EC" w:rsidRPr="00C22200">
        <w:rPr>
          <w:sz w:val="24"/>
          <w:szCs w:val="24"/>
          <w:lang w:val="en-US"/>
        </w:rPr>
        <w:t> </w:t>
      </w:r>
      <w:hyperlink r:id="rId8" w:history="1">
        <w:r w:rsidR="005F69EC" w:rsidRPr="00C22200">
          <w:rPr>
            <w:rStyle w:val="ac"/>
            <w:sz w:val="24"/>
            <w:szCs w:val="24"/>
            <w:lang w:val="en-US"/>
          </w:rPr>
          <w:t>https</w:t>
        </w:r>
        <w:r w:rsidR="005F69EC" w:rsidRPr="00C22200">
          <w:rPr>
            <w:rStyle w:val="ac"/>
            <w:sz w:val="24"/>
            <w:szCs w:val="24"/>
          </w:rPr>
          <w:t>://</w:t>
        </w:r>
        <w:r w:rsidR="005F69EC" w:rsidRPr="00C22200">
          <w:rPr>
            <w:rStyle w:val="ac"/>
            <w:sz w:val="24"/>
            <w:szCs w:val="24"/>
            <w:lang w:val="en-US"/>
          </w:rPr>
          <w:t>www</w:t>
        </w:r>
        <w:r w:rsidR="005F69EC" w:rsidRPr="00C22200">
          <w:rPr>
            <w:rStyle w:val="ac"/>
            <w:sz w:val="24"/>
            <w:szCs w:val="24"/>
          </w:rPr>
          <w:t>.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rzd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r w:rsidR="005F69EC" w:rsidRPr="00C22200">
          <w:rPr>
            <w:rStyle w:val="ac"/>
            <w:sz w:val="24"/>
            <w:szCs w:val="24"/>
            <w:lang w:val="en-US"/>
          </w:rPr>
          <w:t>partner</w:t>
        </w:r>
        <w:r w:rsidR="005F69EC" w:rsidRPr="00C22200">
          <w:rPr>
            <w:rStyle w:val="ac"/>
            <w:sz w:val="24"/>
            <w:szCs w:val="24"/>
          </w:rPr>
          <w:t>.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ru</w:t>
        </w:r>
        <w:proofErr w:type="spellEnd"/>
        <w:r w:rsidR="005F69EC" w:rsidRPr="00C22200">
          <w:rPr>
            <w:rStyle w:val="ac"/>
            <w:sz w:val="24"/>
            <w:szCs w:val="24"/>
          </w:rPr>
          <w:t>/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zhd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r w:rsidR="005F69EC" w:rsidRPr="00C22200">
          <w:rPr>
            <w:rStyle w:val="ac"/>
            <w:sz w:val="24"/>
            <w:szCs w:val="24"/>
            <w:lang w:val="en-US"/>
          </w:rPr>
          <w:t>transport</w:t>
        </w:r>
        <w:r w:rsidR="005F69EC" w:rsidRPr="00C22200">
          <w:rPr>
            <w:rStyle w:val="ac"/>
            <w:sz w:val="24"/>
            <w:szCs w:val="24"/>
          </w:rPr>
          <w:t>/</w:t>
        </w:r>
        <w:r w:rsidR="005F69EC" w:rsidRPr="00C22200">
          <w:rPr>
            <w:rStyle w:val="ac"/>
            <w:sz w:val="24"/>
            <w:szCs w:val="24"/>
            <w:lang w:val="en-US"/>
          </w:rPr>
          <w:t>comments</w:t>
        </w:r>
        <w:r w:rsidR="005F69EC" w:rsidRPr="00C22200">
          <w:rPr>
            <w:rStyle w:val="ac"/>
            <w:sz w:val="24"/>
            <w:szCs w:val="24"/>
          </w:rPr>
          <w:t>/</w:t>
        </w:r>
        <w:r w:rsidR="005F69EC" w:rsidRPr="00C22200">
          <w:rPr>
            <w:rStyle w:val="ac"/>
            <w:sz w:val="24"/>
            <w:szCs w:val="24"/>
            <w:lang w:val="en-US"/>
          </w:rPr>
          <w:t>drama</w:t>
        </w:r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na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granitsy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rossii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i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kitaya</w:t>
        </w:r>
        <w:proofErr w:type="spellEnd"/>
        <w:r w:rsidR="005F69EC" w:rsidRPr="00C22200">
          <w:rPr>
            <w:rStyle w:val="ac"/>
            <w:sz w:val="24"/>
            <w:szCs w:val="24"/>
          </w:rPr>
          <w:t xml:space="preserve"> 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infrastruktura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r w:rsidR="005F69EC" w:rsidRPr="00C22200">
          <w:rPr>
            <w:rStyle w:val="ac"/>
            <w:sz w:val="24"/>
            <w:szCs w:val="24"/>
            <w:lang w:val="en-US"/>
          </w:rPr>
          <w:t>ne</w:t>
        </w:r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spravlyaetsya</w:t>
        </w:r>
        <w:proofErr w:type="spellEnd"/>
        <w:r w:rsidR="005F69EC" w:rsidRPr="00C22200">
          <w:rPr>
            <w:rStyle w:val="ac"/>
            <w:sz w:val="24"/>
            <w:szCs w:val="24"/>
          </w:rPr>
          <w:t>-</w:t>
        </w:r>
        <w:r w:rsidR="005F69EC" w:rsidRPr="00C22200">
          <w:rPr>
            <w:rStyle w:val="ac"/>
            <w:sz w:val="24"/>
            <w:szCs w:val="24"/>
            <w:lang w:val="en-US"/>
          </w:rPr>
          <w:t>s</w:t>
        </w:r>
        <w:r w:rsidR="005F69EC" w:rsidRPr="00C22200">
          <w:rPr>
            <w:rStyle w:val="ac"/>
            <w:sz w:val="24"/>
            <w:szCs w:val="24"/>
          </w:rPr>
          <w:t>-</w:t>
        </w:r>
        <w:proofErr w:type="spellStart"/>
        <w:r w:rsidR="005F69EC" w:rsidRPr="00C22200">
          <w:rPr>
            <w:rStyle w:val="ac"/>
            <w:sz w:val="24"/>
            <w:szCs w:val="24"/>
            <w:lang w:val="en-US"/>
          </w:rPr>
          <w:t>gruzopotokom</w:t>
        </w:r>
        <w:proofErr w:type="spellEnd"/>
        <w:r w:rsidR="005F69EC" w:rsidRPr="00C22200">
          <w:rPr>
            <w:rStyle w:val="ac"/>
            <w:sz w:val="24"/>
            <w:szCs w:val="24"/>
          </w:rPr>
          <w:t>/</w:t>
        </w:r>
      </w:hyperlink>
      <w:r w:rsidR="005F69EC" w:rsidRPr="00C22200">
        <w:rPr>
          <w:rFonts w:cs="Times New Roman"/>
          <w:color w:val="0000FF" w:themeColor="hyperlink"/>
          <w:sz w:val="24"/>
          <w:szCs w:val="24"/>
          <w:u w:val="single"/>
        </w:rPr>
        <w:t xml:space="preserve"> (дата обращения: 26.02.2023).</w:t>
      </w:r>
      <w:r w:rsidRPr="00C22200">
        <w:rPr>
          <w:rStyle w:val="ac"/>
          <w:sz w:val="24"/>
          <w:szCs w:val="24"/>
        </w:rPr>
        <w:t>– Текст : электронный.</w:t>
      </w:r>
    </w:p>
    <w:bookmarkEnd w:id="11"/>
    <w:p w:rsidR="00443766" w:rsidRPr="00C22200" w:rsidRDefault="00A67647" w:rsidP="00443766">
      <w:pPr>
        <w:pStyle w:val="a9"/>
        <w:ind w:left="0" w:firstLine="709"/>
        <w:rPr>
          <w:rFonts w:eastAsia="Calibri" w:cs="Times New Roman"/>
          <w:color w:val="0000FF" w:themeColor="hyperlink"/>
          <w:sz w:val="24"/>
          <w:szCs w:val="24"/>
          <w:u w:val="single"/>
        </w:rPr>
      </w:pPr>
      <w:r w:rsidRPr="00C22200">
        <w:rPr>
          <w:rFonts w:cs="Times New Roman"/>
          <w:sz w:val="24"/>
          <w:szCs w:val="24"/>
        </w:rPr>
        <w:t>3. </w:t>
      </w:r>
      <w:r w:rsidR="00443766" w:rsidRPr="00C22200">
        <w:rPr>
          <w:rFonts w:eastAsia="Calibri" w:cs="Times New Roman"/>
          <w:sz w:val="24"/>
          <w:szCs w:val="24"/>
        </w:rPr>
        <w:t xml:space="preserve">Внешняя торговля: Россия, Китай, Дальний Восток. – Москва, Восточный центр государственного планирования, 2022. – 45 С. – </w:t>
      </w:r>
      <w:r w:rsidR="00443766" w:rsidRPr="00C22200">
        <w:rPr>
          <w:rFonts w:eastAsia="Calibri" w:cs="Times New Roman"/>
          <w:sz w:val="24"/>
          <w:szCs w:val="24"/>
          <w:lang w:val="en-US"/>
        </w:rPr>
        <w:t>URL</w:t>
      </w:r>
      <w:r w:rsidR="00443766" w:rsidRPr="00C22200">
        <w:rPr>
          <w:rFonts w:eastAsia="Calibri" w:cs="Times New Roman"/>
          <w:sz w:val="24"/>
          <w:szCs w:val="24"/>
        </w:rPr>
        <w:t xml:space="preserve">: </w:t>
      </w:r>
      <w:hyperlink r:id="rId9" w:history="1">
        <w:r w:rsidR="00443766" w:rsidRPr="00C22200">
          <w:rPr>
            <w:rFonts w:eastAsia="Calibri" w:cs="Times New Roman"/>
            <w:color w:val="0000FF" w:themeColor="hyperlink"/>
            <w:sz w:val="24"/>
            <w:szCs w:val="24"/>
            <w:u w:val="single"/>
          </w:rPr>
          <w:t>https://vostokgosplan.ru/wp-content/uploads/1310-1624-dig-import-knr.pdf</w:t>
        </w:r>
      </w:hyperlink>
      <w:r w:rsidR="00443766" w:rsidRPr="00C22200">
        <w:rPr>
          <w:rFonts w:eastAsia="Calibri" w:cs="Times New Roman"/>
          <w:color w:val="0000FF" w:themeColor="hyperlink"/>
          <w:sz w:val="24"/>
          <w:szCs w:val="24"/>
          <w:u w:val="single"/>
        </w:rPr>
        <w:t>.</w:t>
      </w:r>
    </w:p>
    <w:p w:rsidR="00443766" w:rsidRPr="00C22200" w:rsidRDefault="00443766" w:rsidP="00443766">
      <w:pPr>
        <w:ind w:firstLine="709"/>
        <w:rPr>
          <w:rStyle w:val="ac"/>
          <w:sz w:val="24"/>
          <w:szCs w:val="24"/>
        </w:rPr>
      </w:pPr>
      <w:r w:rsidRPr="00C22200">
        <w:rPr>
          <w:rFonts w:cs="Times New Roman"/>
          <w:sz w:val="24"/>
          <w:szCs w:val="24"/>
        </w:rPr>
        <w:t xml:space="preserve">4. </w:t>
      </w:r>
      <w:r w:rsidRPr="00C22200">
        <w:rPr>
          <w:color w:val="000000" w:themeColor="text1"/>
          <w:sz w:val="24"/>
          <w:szCs w:val="24"/>
        </w:rPr>
        <w:t xml:space="preserve">РЖД ведут переговоры о перевозках угля в Китай в контейнерах </w:t>
      </w:r>
      <w:proofErr w:type="spellStart"/>
      <w:r w:rsidRPr="00C22200">
        <w:rPr>
          <w:color w:val="000000" w:themeColor="text1"/>
          <w:sz w:val="24"/>
          <w:szCs w:val="24"/>
        </w:rPr>
        <w:t>open</w:t>
      </w:r>
      <w:proofErr w:type="spellEnd"/>
      <w:r w:rsidRPr="00C22200">
        <w:rPr>
          <w:color w:val="000000" w:themeColor="text1"/>
          <w:sz w:val="24"/>
          <w:szCs w:val="24"/>
        </w:rPr>
        <w:t xml:space="preserve"> </w:t>
      </w:r>
      <w:proofErr w:type="spellStart"/>
      <w:r w:rsidRPr="00C22200">
        <w:rPr>
          <w:color w:val="000000" w:themeColor="text1"/>
          <w:sz w:val="24"/>
          <w:szCs w:val="24"/>
        </w:rPr>
        <w:t>top</w:t>
      </w:r>
      <w:proofErr w:type="spellEnd"/>
      <w:proofErr w:type="gramStart"/>
      <w:r w:rsidRPr="00C22200">
        <w:rPr>
          <w:color w:val="000000" w:themeColor="text1"/>
          <w:sz w:val="24"/>
          <w:szCs w:val="24"/>
        </w:rPr>
        <w:t>. :</w:t>
      </w:r>
      <w:proofErr w:type="gramEnd"/>
      <w:r w:rsidRPr="00C22200">
        <w:rPr>
          <w:color w:val="000000" w:themeColor="text1"/>
          <w:sz w:val="24"/>
          <w:szCs w:val="24"/>
        </w:rPr>
        <w:t xml:space="preserve"> Группа "Интерфакс"</w:t>
      </w:r>
      <w:r w:rsidRPr="00C22200">
        <w:rPr>
          <w:color w:val="000000"/>
          <w:sz w:val="24"/>
          <w:szCs w:val="24"/>
        </w:rPr>
        <w:t xml:space="preserve">. – </w:t>
      </w:r>
      <w:r w:rsidRPr="00C22200">
        <w:rPr>
          <w:color w:val="000000"/>
          <w:sz w:val="24"/>
          <w:szCs w:val="24"/>
          <w:lang w:val="en-US"/>
        </w:rPr>
        <w:t>URL</w:t>
      </w:r>
      <w:proofErr w:type="gramStart"/>
      <w:r w:rsidRPr="00C22200">
        <w:rPr>
          <w:color w:val="000000"/>
          <w:sz w:val="24"/>
          <w:szCs w:val="24"/>
        </w:rPr>
        <w:t xml:space="preserve">: </w:t>
      </w:r>
      <w:r w:rsidRPr="00C22200">
        <w:rPr>
          <w:sz w:val="24"/>
          <w:szCs w:val="24"/>
        </w:rPr>
        <w:t>:</w:t>
      </w:r>
      <w:proofErr w:type="gramEnd"/>
      <w:r w:rsidRPr="00C22200">
        <w:rPr>
          <w:sz w:val="24"/>
          <w:szCs w:val="24"/>
          <w:lang w:val="en-US"/>
        </w:rPr>
        <w:t> </w:t>
      </w:r>
      <w:r w:rsidRPr="00C22200">
        <w:rPr>
          <w:rStyle w:val="ac"/>
          <w:sz w:val="24"/>
          <w:szCs w:val="24"/>
          <w:lang w:val="en-US"/>
        </w:rPr>
        <w:t>https</w:t>
      </w:r>
      <w:r w:rsidRPr="00C22200">
        <w:rPr>
          <w:rStyle w:val="ac"/>
          <w:sz w:val="24"/>
          <w:szCs w:val="24"/>
        </w:rPr>
        <w:t>://</w:t>
      </w:r>
      <w:proofErr w:type="spellStart"/>
      <w:r w:rsidRPr="00C22200">
        <w:rPr>
          <w:rStyle w:val="ac"/>
          <w:sz w:val="24"/>
          <w:szCs w:val="24"/>
          <w:lang w:val="en-US"/>
        </w:rPr>
        <w:t>kommersant</w:t>
      </w:r>
      <w:proofErr w:type="spellEnd"/>
      <w:r w:rsidRPr="00C22200">
        <w:rPr>
          <w:rStyle w:val="ac"/>
          <w:sz w:val="24"/>
          <w:szCs w:val="24"/>
        </w:rPr>
        <w:t>-</w:t>
      </w:r>
      <w:proofErr w:type="spellStart"/>
      <w:r w:rsidRPr="00C22200">
        <w:rPr>
          <w:rStyle w:val="ac"/>
          <w:sz w:val="24"/>
          <w:szCs w:val="24"/>
          <w:lang w:val="en-US"/>
        </w:rPr>
        <w:t>ru</w:t>
      </w:r>
      <w:proofErr w:type="spellEnd"/>
      <w:r w:rsidRPr="00C22200">
        <w:rPr>
          <w:rStyle w:val="ac"/>
          <w:sz w:val="24"/>
          <w:szCs w:val="24"/>
        </w:rPr>
        <w:t>.</w:t>
      </w:r>
      <w:proofErr w:type="spellStart"/>
      <w:r w:rsidRPr="00C22200">
        <w:rPr>
          <w:rStyle w:val="ac"/>
          <w:sz w:val="24"/>
          <w:szCs w:val="24"/>
          <w:lang w:val="en-US"/>
        </w:rPr>
        <w:t>turbopages</w:t>
      </w:r>
      <w:proofErr w:type="spellEnd"/>
      <w:r w:rsidRPr="00C22200">
        <w:rPr>
          <w:rStyle w:val="ac"/>
          <w:sz w:val="24"/>
          <w:szCs w:val="24"/>
        </w:rPr>
        <w:t>.</w:t>
      </w:r>
      <w:r w:rsidRPr="00C22200">
        <w:rPr>
          <w:rStyle w:val="ac"/>
          <w:sz w:val="24"/>
          <w:szCs w:val="24"/>
          <w:lang w:val="en-US"/>
        </w:rPr>
        <w:t>org</w:t>
      </w:r>
      <w:r w:rsidRPr="00C22200">
        <w:rPr>
          <w:rStyle w:val="ac"/>
          <w:sz w:val="24"/>
          <w:szCs w:val="24"/>
        </w:rPr>
        <w:t>/</w:t>
      </w:r>
      <w:proofErr w:type="spellStart"/>
      <w:r w:rsidRPr="00C22200">
        <w:rPr>
          <w:rStyle w:val="ac"/>
          <w:sz w:val="24"/>
          <w:szCs w:val="24"/>
          <w:lang w:val="en-US"/>
        </w:rPr>
        <w:t>kommersant</w:t>
      </w:r>
      <w:proofErr w:type="spellEnd"/>
      <w:r w:rsidRPr="00C22200">
        <w:rPr>
          <w:rStyle w:val="ac"/>
          <w:sz w:val="24"/>
          <w:szCs w:val="24"/>
        </w:rPr>
        <w:t>.</w:t>
      </w:r>
      <w:proofErr w:type="spellStart"/>
      <w:r w:rsidRPr="00C22200">
        <w:rPr>
          <w:rStyle w:val="ac"/>
          <w:sz w:val="24"/>
          <w:szCs w:val="24"/>
          <w:lang w:val="en-US"/>
        </w:rPr>
        <w:t>ru</w:t>
      </w:r>
      <w:proofErr w:type="spellEnd"/>
      <w:r w:rsidRPr="00C22200">
        <w:rPr>
          <w:rStyle w:val="ac"/>
          <w:sz w:val="24"/>
          <w:szCs w:val="24"/>
        </w:rPr>
        <w:t>/</w:t>
      </w:r>
      <w:r w:rsidRPr="00C22200">
        <w:rPr>
          <w:rStyle w:val="ac"/>
          <w:sz w:val="24"/>
          <w:szCs w:val="24"/>
          <w:lang w:val="en-US"/>
        </w:rPr>
        <w:t>s</w:t>
      </w:r>
      <w:r w:rsidRPr="00C22200">
        <w:rPr>
          <w:rStyle w:val="ac"/>
          <w:sz w:val="24"/>
          <w:szCs w:val="24"/>
        </w:rPr>
        <w:t>/</w:t>
      </w:r>
      <w:r w:rsidRPr="00C22200">
        <w:rPr>
          <w:rStyle w:val="ac"/>
          <w:sz w:val="24"/>
          <w:szCs w:val="24"/>
          <w:lang w:val="en-US"/>
        </w:rPr>
        <w:t>doc</w:t>
      </w:r>
      <w:r w:rsidRPr="00C22200">
        <w:rPr>
          <w:rStyle w:val="ac"/>
          <w:sz w:val="24"/>
          <w:szCs w:val="24"/>
        </w:rPr>
        <w:t>/5843762</w:t>
      </w:r>
      <w:r w:rsidRPr="00C22200">
        <w:rPr>
          <w:rFonts w:cs="Times New Roman"/>
          <w:color w:val="0000FF" w:themeColor="hyperlink"/>
          <w:sz w:val="24"/>
          <w:szCs w:val="24"/>
          <w:u w:val="single"/>
        </w:rPr>
        <w:t xml:space="preserve"> (дата обращения: 26.02.2023).</w:t>
      </w:r>
      <w:r w:rsidRPr="00C22200">
        <w:rPr>
          <w:rStyle w:val="ac"/>
          <w:sz w:val="24"/>
          <w:szCs w:val="24"/>
        </w:rPr>
        <w:t>– Текст : электронный.</w:t>
      </w:r>
    </w:p>
    <w:p w:rsidR="00443766" w:rsidRPr="00C22200" w:rsidRDefault="00443766" w:rsidP="00443766">
      <w:pPr>
        <w:ind w:firstLine="709"/>
        <w:rPr>
          <w:color w:val="FF0000"/>
          <w:sz w:val="24"/>
          <w:szCs w:val="24"/>
        </w:rPr>
      </w:pPr>
      <w:r w:rsidRPr="00C22200">
        <w:rPr>
          <w:rFonts w:cs="Times New Roman"/>
          <w:sz w:val="24"/>
          <w:szCs w:val="24"/>
        </w:rPr>
        <w:t>5. Р</w:t>
      </w:r>
      <w:r w:rsidRPr="00C22200">
        <w:rPr>
          <w:color w:val="000000" w:themeColor="text1"/>
          <w:sz w:val="24"/>
          <w:szCs w:val="24"/>
        </w:rPr>
        <w:t>оссийский уголь дешевеет в портах. Цены падают из-за теплой зимы</w:t>
      </w:r>
      <w:proofErr w:type="gramStart"/>
      <w:r w:rsidRPr="00C22200">
        <w:rPr>
          <w:color w:val="000000" w:themeColor="text1"/>
          <w:sz w:val="24"/>
          <w:szCs w:val="24"/>
        </w:rPr>
        <w:t>. :</w:t>
      </w:r>
      <w:proofErr w:type="gramEnd"/>
      <w:r w:rsidRPr="00C22200">
        <w:rPr>
          <w:color w:val="000000" w:themeColor="text1"/>
          <w:sz w:val="24"/>
          <w:szCs w:val="24"/>
        </w:rPr>
        <w:t xml:space="preserve"> Газета «Коммерсантъ»</w:t>
      </w:r>
      <w:r w:rsidRPr="00C22200">
        <w:rPr>
          <w:color w:val="000000"/>
          <w:sz w:val="24"/>
          <w:szCs w:val="24"/>
        </w:rPr>
        <w:t xml:space="preserve">. – </w:t>
      </w:r>
      <w:r w:rsidRPr="00C22200">
        <w:rPr>
          <w:color w:val="000000"/>
          <w:sz w:val="24"/>
          <w:szCs w:val="24"/>
          <w:lang w:val="en-US"/>
        </w:rPr>
        <w:t>URL</w:t>
      </w:r>
      <w:proofErr w:type="gramStart"/>
      <w:r w:rsidRPr="00C22200">
        <w:rPr>
          <w:color w:val="000000"/>
          <w:sz w:val="24"/>
          <w:szCs w:val="24"/>
        </w:rPr>
        <w:t xml:space="preserve">: </w:t>
      </w:r>
      <w:r w:rsidRPr="00C22200">
        <w:rPr>
          <w:sz w:val="24"/>
          <w:szCs w:val="24"/>
        </w:rPr>
        <w:t>:</w:t>
      </w:r>
      <w:proofErr w:type="gramEnd"/>
      <w:r w:rsidRPr="00C22200">
        <w:rPr>
          <w:sz w:val="24"/>
          <w:szCs w:val="24"/>
          <w:lang w:val="en-US"/>
        </w:rPr>
        <w:t> </w:t>
      </w:r>
      <w:r w:rsidRPr="00C22200">
        <w:rPr>
          <w:rStyle w:val="ac"/>
          <w:sz w:val="24"/>
          <w:szCs w:val="24"/>
          <w:lang w:val="en-US"/>
        </w:rPr>
        <w:t>https</w:t>
      </w:r>
      <w:r w:rsidRPr="00C22200">
        <w:rPr>
          <w:rStyle w:val="ac"/>
          <w:sz w:val="24"/>
          <w:szCs w:val="24"/>
        </w:rPr>
        <w:t>://</w:t>
      </w:r>
      <w:r w:rsidRPr="00C22200">
        <w:rPr>
          <w:rStyle w:val="ac"/>
          <w:sz w:val="24"/>
          <w:szCs w:val="24"/>
          <w:lang w:val="en-US"/>
        </w:rPr>
        <w:t>www</w:t>
      </w:r>
      <w:r w:rsidRPr="00C22200">
        <w:rPr>
          <w:rStyle w:val="ac"/>
          <w:sz w:val="24"/>
          <w:szCs w:val="24"/>
        </w:rPr>
        <w:t>.</w:t>
      </w:r>
      <w:proofErr w:type="spellStart"/>
      <w:r w:rsidRPr="00C22200">
        <w:rPr>
          <w:rStyle w:val="ac"/>
          <w:sz w:val="24"/>
          <w:szCs w:val="24"/>
          <w:lang w:val="en-US"/>
        </w:rPr>
        <w:t>kommersant</w:t>
      </w:r>
      <w:proofErr w:type="spellEnd"/>
      <w:r w:rsidRPr="00C22200">
        <w:rPr>
          <w:rStyle w:val="ac"/>
          <w:sz w:val="24"/>
          <w:szCs w:val="24"/>
        </w:rPr>
        <w:t>.</w:t>
      </w:r>
      <w:proofErr w:type="spellStart"/>
      <w:r w:rsidRPr="00C22200">
        <w:rPr>
          <w:rStyle w:val="ac"/>
          <w:sz w:val="24"/>
          <w:szCs w:val="24"/>
          <w:lang w:val="en-US"/>
        </w:rPr>
        <w:t>ru</w:t>
      </w:r>
      <w:proofErr w:type="spellEnd"/>
      <w:r w:rsidRPr="00C22200">
        <w:rPr>
          <w:rStyle w:val="ac"/>
          <w:sz w:val="24"/>
          <w:szCs w:val="24"/>
        </w:rPr>
        <w:t>/</w:t>
      </w:r>
      <w:r w:rsidRPr="00C22200">
        <w:rPr>
          <w:rStyle w:val="ac"/>
          <w:sz w:val="24"/>
          <w:szCs w:val="24"/>
          <w:lang w:val="en-US"/>
        </w:rPr>
        <w:t>doc</w:t>
      </w:r>
      <w:r w:rsidRPr="00C22200">
        <w:rPr>
          <w:rStyle w:val="ac"/>
          <w:sz w:val="24"/>
          <w:szCs w:val="24"/>
        </w:rPr>
        <w:t>/5843762</w:t>
      </w:r>
      <w:r w:rsidRPr="00C22200">
        <w:rPr>
          <w:rFonts w:cs="Times New Roman"/>
          <w:color w:val="0000FF" w:themeColor="hyperlink"/>
          <w:sz w:val="24"/>
          <w:szCs w:val="24"/>
          <w:u w:val="single"/>
        </w:rPr>
        <w:t xml:space="preserve"> (дата обращения: 26.02.2023).</w:t>
      </w:r>
      <w:r w:rsidRPr="00C22200">
        <w:rPr>
          <w:rStyle w:val="ac"/>
          <w:sz w:val="24"/>
          <w:szCs w:val="24"/>
        </w:rPr>
        <w:t>– Текст : электронный.</w:t>
      </w:r>
    </w:p>
    <w:p w:rsidR="00443766" w:rsidRPr="00C22200" w:rsidRDefault="00443766" w:rsidP="00443766">
      <w:pPr>
        <w:ind w:firstLine="709"/>
        <w:rPr>
          <w:color w:val="FF0000"/>
          <w:sz w:val="24"/>
          <w:szCs w:val="24"/>
        </w:rPr>
      </w:pPr>
    </w:p>
    <w:p w:rsidR="00A67647" w:rsidRPr="00C22200" w:rsidRDefault="00A67647" w:rsidP="00443766">
      <w:pPr>
        <w:pStyle w:val="a9"/>
        <w:rPr>
          <w:rFonts w:cs="Times New Roman"/>
          <w:sz w:val="24"/>
          <w:szCs w:val="24"/>
        </w:rPr>
      </w:pPr>
    </w:p>
    <w:sectPr w:rsidR="00A67647" w:rsidRPr="00C22200" w:rsidSect="00275DFF">
      <w:pgSz w:w="11906" w:h="16838"/>
      <w:pgMar w:top="1418" w:right="1134" w:bottom="1701" w:left="1134" w:header="709" w:footer="13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5A" w:rsidRDefault="00BE7F5A" w:rsidP="00275DFF">
      <w:r>
        <w:separator/>
      </w:r>
    </w:p>
  </w:endnote>
  <w:endnote w:type="continuationSeparator" w:id="0">
    <w:p w:rsidR="00BE7F5A" w:rsidRDefault="00BE7F5A" w:rsidP="0027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5A" w:rsidRDefault="00BE7F5A" w:rsidP="00275DFF">
      <w:r>
        <w:separator/>
      </w:r>
    </w:p>
  </w:footnote>
  <w:footnote w:type="continuationSeparator" w:id="0">
    <w:p w:rsidR="00BE7F5A" w:rsidRDefault="00BE7F5A" w:rsidP="0027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945"/>
    <w:multiLevelType w:val="hybridMultilevel"/>
    <w:tmpl w:val="BADC09C8"/>
    <w:lvl w:ilvl="0" w:tplc="60622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AF602F"/>
    <w:multiLevelType w:val="hybridMultilevel"/>
    <w:tmpl w:val="44747540"/>
    <w:lvl w:ilvl="0" w:tplc="7974D2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9AE762C"/>
    <w:multiLevelType w:val="multilevel"/>
    <w:tmpl w:val="99D6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52DE3"/>
    <w:multiLevelType w:val="hybridMultilevel"/>
    <w:tmpl w:val="1A965FB2"/>
    <w:lvl w:ilvl="0" w:tplc="759669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46"/>
    <w:rsid w:val="00003C5A"/>
    <w:rsid w:val="00012622"/>
    <w:rsid w:val="000242F8"/>
    <w:rsid w:val="00024E44"/>
    <w:rsid w:val="00036808"/>
    <w:rsid w:val="000901A9"/>
    <w:rsid w:val="00091640"/>
    <w:rsid w:val="000B7C5E"/>
    <w:rsid w:val="000E0FE2"/>
    <w:rsid w:val="00111782"/>
    <w:rsid w:val="001624C7"/>
    <w:rsid w:val="001652EA"/>
    <w:rsid w:val="001C33FE"/>
    <w:rsid w:val="001F07BF"/>
    <w:rsid w:val="00202F3C"/>
    <w:rsid w:val="00231319"/>
    <w:rsid w:val="002361B9"/>
    <w:rsid w:val="00250AE9"/>
    <w:rsid w:val="00255F22"/>
    <w:rsid w:val="002655D2"/>
    <w:rsid w:val="00271EDA"/>
    <w:rsid w:val="00275DFF"/>
    <w:rsid w:val="002B05A0"/>
    <w:rsid w:val="002C7E04"/>
    <w:rsid w:val="002E15A7"/>
    <w:rsid w:val="002E4A8F"/>
    <w:rsid w:val="002E4B58"/>
    <w:rsid w:val="002F71AE"/>
    <w:rsid w:val="00313EF6"/>
    <w:rsid w:val="00316ABF"/>
    <w:rsid w:val="00317544"/>
    <w:rsid w:val="00324531"/>
    <w:rsid w:val="00324FCC"/>
    <w:rsid w:val="003544EC"/>
    <w:rsid w:val="00374AC8"/>
    <w:rsid w:val="0038606A"/>
    <w:rsid w:val="00393B46"/>
    <w:rsid w:val="00395F15"/>
    <w:rsid w:val="003C1AD0"/>
    <w:rsid w:val="003C76EA"/>
    <w:rsid w:val="003D2098"/>
    <w:rsid w:val="003F0891"/>
    <w:rsid w:val="003F6434"/>
    <w:rsid w:val="00414375"/>
    <w:rsid w:val="00443766"/>
    <w:rsid w:val="00447301"/>
    <w:rsid w:val="00460944"/>
    <w:rsid w:val="00467743"/>
    <w:rsid w:val="004B3EDF"/>
    <w:rsid w:val="004E107D"/>
    <w:rsid w:val="00520639"/>
    <w:rsid w:val="00520E43"/>
    <w:rsid w:val="005311A7"/>
    <w:rsid w:val="005313A1"/>
    <w:rsid w:val="00550075"/>
    <w:rsid w:val="005571D2"/>
    <w:rsid w:val="00564E3B"/>
    <w:rsid w:val="0057359F"/>
    <w:rsid w:val="005746EC"/>
    <w:rsid w:val="00581C2C"/>
    <w:rsid w:val="00590BEB"/>
    <w:rsid w:val="0059335E"/>
    <w:rsid w:val="00594315"/>
    <w:rsid w:val="005A0093"/>
    <w:rsid w:val="005A3C0E"/>
    <w:rsid w:val="005B7155"/>
    <w:rsid w:val="005E37E7"/>
    <w:rsid w:val="005F6400"/>
    <w:rsid w:val="005F69EC"/>
    <w:rsid w:val="0061095E"/>
    <w:rsid w:val="00612F1D"/>
    <w:rsid w:val="006153C9"/>
    <w:rsid w:val="00630565"/>
    <w:rsid w:val="00637113"/>
    <w:rsid w:val="00645484"/>
    <w:rsid w:val="00696CF8"/>
    <w:rsid w:val="006A7DF0"/>
    <w:rsid w:val="006C75F0"/>
    <w:rsid w:val="006D33C1"/>
    <w:rsid w:val="006E3E41"/>
    <w:rsid w:val="006F0D38"/>
    <w:rsid w:val="0073089A"/>
    <w:rsid w:val="00753880"/>
    <w:rsid w:val="00773DA3"/>
    <w:rsid w:val="00774C5D"/>
    <w:rsid w:val="00784495"/>
    <w:rsid w:val="00787FE0"/>
    <w:rsid w:val="00792229"/>
    <w:rsid w:val="007E554A"/>
    <w:rsid w:val="007F2D64"/>
    <w:rsid w:val="008163B6"/>
    <w:rsid w:val="00871C54"/>
    <w:rsid w:val="00881BAE"/>
    <w:rsid w:val="00881F6A"/>
    <w:rsid w:val="008A03D7"/>
    <w:rsid w:val="008A2ED4"/>
    <w:rsid w:val="008B2144"/>
    <w:rsid w:val="008B66A2"/>
    <w:rsid w:val="008E36F2"/>
    <w:rsid w:val="0090141F"/>
    <w:rsid w:val="0090408E"/>
    <w:rsid w:val="00916B41"/>
    <w:rsid w:val="0093714E"/>
    <w:rsid w:val="00966306"/>
    <w:rsid w:val="009761C8"/>
    <w:rsid w:val="009868A9"/>
    <w:rsid w:val="00992BEE"/>
    <w:rsid w:val="009D37C6"/>
    <w:rsid w:val="009D526F"/>
    <w:rsid w:val="00A258FA"/>
    <w:rsid w:val="00A57E23"/>
    <w:rsid w:val="00A67647"/>
    <w:rsid w:val="00A94F96"/>
    <w:rsid w:val="00AA13AD"/>
    <w:rsid w:val="00AB43E9"/>
    <w:rsid w:val="00AC5871"/>
    <w:rsid w:val="00AD7A79"/>
    <w:rsid w:val="00AE0879"/>
    <w:rsid w:val="00AF2C1D"/>
    <w:rsid w:val="00B23915"/>
    <w:rsid w:val="00B272AF"/>
    <w:rsid w:val="00B52CDE"/>
    <w:rsid w:val="00B600B1"/>
    <w:rsid w:val="00B64C81"/>
    <w:rsid w:val="00BB7EE5"/>
    <w:rsid w:val="00BC4C91"/>
    <w:rsid w:val="00BE2CF6"/>
    <w:rsid w:val="00BE5F69"/>
    <w:rsid w:val="00BE7F5A"/>
    <w:rsid w:val="00C22200"/>
    <w:rsid w:val="00C371E3"/>
    <w:rsid w:val="00C57C7D"/>
    <w:rsid w:val="00C84C7F"/>
    <w:rsid w:val="00C90DB5"/>
    <w:rsid w:val="00CC379B"/>
    <w:rsid w:val="00CD2FD1"/>
    <w:rsid w:val="00D216C8"/>
    <w:rsid w:val="00D5736E"/>
    <w:rsid w:val="00D92B6A"/>
    <w:rsid w:val="00D96C3E"/>
    <w:rsid w:val="00DA20B2"/>
    <w:rsid w:val="00DD409B"/>
    <w:rsid w:val="00DF53F1"/>
    <w:rsid w:val="00E135EE"/>
    <w:rsid w:val="00E31DC2"/>
    <w:rsid w:val="00E32330"/>
    <w:rsid w:val="00E33C08"/>
    <w:rsid w:val="00E52A84"/>
    <w:rsid w:val="00E709C3"/>
    <w:rsid w:val="00E9372B"/>
    <w:rsid w:val="00EB039D"/>
    <w:rsid w:val="00EB3489"/>
    <w:rsid w:val="00EE11A6"/>
    <w:rsid w:val="00EE6FA9"/>
    <w:rsid w:val="00F04DE6"/>
    <w:rsid w:val="00F15A42"/>
    <w:rsid w:val="00F20C39"/>
    <w:rsid w:val="00F22C3E"/>
    <w:rsid w:val="00F35448"/>
    <w:rsid w:val="00F361BE"/>
    <w:rsid w:val="00F77085"/>
    <w:rsid w:val="00FA72AC"/>
    <w:rsid w:val="00FB6F61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CD94-CF12-43A0-B09C-5B8C1D4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DFF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F53F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5D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5D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F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C78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13EF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313A1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67647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113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d-partner.ru/zhd-transport/comments/drama-na-granitsy-rossii-i-kitaya%20infrastruktura-ne-spravlyaetsya-s-gruzopotok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stokgosplan.ru/wp-content/uploads/1310-1624-dig-import-kn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7901-7442-4903-A545-20DBE2D9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2023-03-21T06:42:00Z</dcterms:created>
  <dcterms:modified xsi:type="dcterms:W3CDTF">2023-03-21T06:42:00Z</dcterms:modified>
</cp:coreProperties>
</file>