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04" w:rsidRPr="00C67F33" w:rsidRDefault="00FD506E" w:rsidP="00FD5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06E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="00C67F33">
        <w:rPr>
          <w:rFonts w:ascii="Times New Roman" w:hAnsi="Times New Roman" w:cs="Times New Roman"/>
          <w:b/>
          <w:bCs/>
          <w:sz w:val="24"/>
          <w:szCs w:val="24"/>
        </w:rPr>
        <w:t xml:space="preserve">влияния предприятия теплоэнергетики на состояние атмосферного воздуха города </w:t>
      </w:r>
      <w:r w:rsidR="00246640">
        <w:rPr>
          <w:rFonts w:ascii="Times New Roman" w:hAnsi="Times New Roman" w:cs="Times New Roman"/>
          <w:b/>
          <w:bCs/>
          <w:sz w:val="24"/>
          <w:szCs w:val="24"/>
        </w:rPr>
        <w:t>Минусинск</w:t>
      </w:r>
    </w:p>
    <w:p w:rsidR="00FD506E" w:rsidRDefault="00FD506E" w:rsidP="00FD50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50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Линд Э.В., Черных И.А.</w:t>
      </w:r>
    </w:p>
    <w:p w:rsidR="00A706DE" w:rsidRPr="00A706DE" w:rsidRDefault="00A706DE" w:rsidP="00FD506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706DE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  <w:r w:rsidR="0034528A">
        <w:rPr>
          <w:rFonts w:ascii="Times New Roman" w:hAnsi="Times New Roman" w:cs="Times New Roman"/>
          <w:i/>
          <w:iCs/>
          <w:sz w:val="24"/>
          <w:szCs w:val="24"/>
        </w:rPr>
        <w:t>, 1 курс магистратуры</w:t>
      </w:r>
    </w:p>
    <w:p w:rsidR="00FD506E" w:rsidRPr="00FD506E" w:rsidRDefault="00FD506E" w:rsidP="00FD506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D506E">
        <w:rPr>
          <w:rFonts w:ascii="Times New Roman" w:hAnsi="Times New Roman" w:cs="Times New Roman"/>
          <w:i/>
          <w:iCs/>
          <w:sz w:val="24"/>
          <w:szCs w:val="24"/>
        </w:rPr>
        <w:t xml:space="preserve">Новосибирский государственный технический университет, </w:t>
      </w:r>
      <w:r w:rsidR="00D073A0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Pr="00FD506E">
        <w:rPr>
          <w:rFonts w:ascii="Times New Roman" w:hAnsi="Times New Roman" w:cs="Times New Roman"/>
          <w:i/>
          <w:iCs/>
          <w:sz w:val="24"/>
          <w:szCs w:val="24"/>
        </w:rPr>
        <w:t>акультет энергетики, Новосибирск, Россия</w:t>
      </w:r>
    </w:p>
    <w:p w:rsidR="00FD506E" w:rsidRPr="00D073A0" w:rsidRDefault="00FD506E" w:rsidP="00FD506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D506E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D073A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D506E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D073A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4" w:history="1">
        <w:r w:rsidRPr="00FD506E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lindelya</w:t>
        </w:r>
        <w:r w:rsidRPr="00D073A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20@</w:t>
        </w:r>
        <w:r w:rsidRPr="00FD506E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gmail</w:t>
        </w:r>
        <w:r w:rsidRPr="00D073A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FD506E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</w:hyperlink>
    </w:p>
    <w:p w:rsidR="00A706DE" w:rsidRPr="00D073A0" w:rsidRDefault="00A706DE" w:rsidP="00FD506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073A0" w:rsidRDefault="00D14849" w:rsidP="00D073A0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последние годы город Минусинск столкнулся с серьезной проблемой </w:t>
      </w:r>
      <w:r w:rsidR="00A82F5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14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высоким уровнем загрязнения воздуха.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73A0" w:rsidRPr="00D0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Актуальность исследования обусловлена высоким содержанием загрязняющих веществ, концентрации которых на территории </w:t>
      </w:r>
      <w:r w:rsidR="00D0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</w:t>
      </w:r>
      <w:r w:rsidR="00D073A0" w:rsidRPr="00D073A0">
        <w:rPr>
          <w:rFonts w:ascii="Times New Roman" w:hAnsi="Times New Roman" w:cs="Times New Roman"/>
          <w:color w:val="000000" w:themeColor="text1"/>
          <w:sz w:val="24"/>
          <w:szCs w:val="24"/>
        </w:rPr>
        <w:t>превышают допустимые уровни. Актуальность данной работы</w:t>
      </w:r>
      <w:r w:rsidR="00D0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обусловлена тем</w:t>
      </w:r>
      <w:r w:rsidR="00D073A0" w:rsidRPr="00D0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воздействие </w:t>
      </w:r>
      <w:r w:rsidR="00D073A0" w:rsidRPr="00D073A0">
        <w:rPr>
          <w:rFonts w:ascii="Times New Roman" w:hAnsi="Times New Roman" w:cs="Times New Roman"/>
          <w:color w:val="000000" w:themeColor="text1"/>
          <w:sz w:val="24"/>
          <w:szCs w:val="24"/>
        </w:rPr>
        <w:t>Минусинской ТЭЦ на окружающую среду является значительным и отрицательно сказывается на экологической обстановке рассматриваемого населённого пункта, в связи с наличием неблагоприятных метеорологических и орографических особенностей расположения города, которые способствуют накоплению ЗВ в атмосфере.</w:t>
      </w:r>
    </w:p>
    <w:p w:rsidR="00DB2999" w:rsidRDefault="00DB2999" w:rsidP="00D073A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2999">
        <w:rPr>
          <w:rFonts w:ascii="Times New Roman" w:hAnsi="Times New Roman" w:cs="Times New Roman"/>
          <w:sz w:val="24"/>
          <w:szCs w:val="24"/>
        </w:rPr>
        <w:t xml:space="preserve">Красноярский край находится в списке самых загрязненных регионов России, по уровню загрязнения атмосферного воздуха. Загрязнение атмосферы является результатом высокой концентрации различных производств. Приоритетным источником загрязнения атмосферы являются ТЭЦ, расположенные в городе. </w:t>
      </w:r>
      <w:r w:rsidR="005547F4">
        <w:rPr>
          <w:rFonts w:ascii="Times New Roman" w:hAnsi="Times New Roman" w:cs="Times New Roman"/>
          <w:sz w:val="24"/>
          <w:szCs w:val="24"/>
        </w:rPr>
        <w:t>Отрицательное воздействие которых связано с образованием и выбросом продуктов сгорания органического топлива в атмосферный воздух, причиняя вред всем компонентам окружающей среды и здоровью населения.</w:t>
      </w:r>
    </w:p>
    <w:p w:rsidR="000F3183" w:rsidRDefault="005547F4" w:rsidP="00D073A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547F4">
        <w:rPr>
          <w:rFonts w:ascii="Times New Roman" w:hAnsi="Times New Roman" w:cs="Times New Roman"/>
          <w:sz w:val="24"/>
          <w:szCs w:val="24"/>
        </w:rPr>
        <w:t>Город Минусинск является одним из старинных городов южных районов Красноярского края.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5547F4">
        <w:rPr>
          <w:rFonts w:ascii="Times New Roman" w:hAnsi="Times New Roman" w:cs="Times New Roman"/>
          <w:sz w:val="24"/>
          <w:szCs w:val="24"/>
        </w:rPr>
        <w:t>аспол</w:t>
      </w:r>
      <w:r>
        <w:rPr>
          <w:rFonts w:ascii="Times New Roman" w:hAnsi="Times New Roman" w:cs="Times New Roman"/>
          <w:sz w:val="24"/>
          <w:szCs w:val="24"/>
        </w:rPr>
        <w:t>ожен</w:t>
      </w:r>
      <w:r w:rsidRPr="005547F4">
        <w:rPr>
          <w:rFonts w:ascii="Times New Roman" w:hAnsi="Times New Roman" w:cs="Times New Roman"/>
          <w:sz w:val="24"/>
          <w:szCs w:val="24"/>
        </w:rPr>
        <w:t xml:space="preserve"> в Минусинской котловине на юге Восточной Сибири. Основу промышленного комплекса города составляет пищевая промышленность. </w:t>
      </w:r>
      <w:r w:rsidR="000F3183" w:rsidRPr="000F3183">
        <w:rPr>
          <w:rFonts w:ascii="Times New Roman" w:hAnsi="Times New Roman" w:cs="Times New Roman"/>
          <w:sz w:val="24"/>
          <w:szCs w:val="24"/>
        </w:rPr>
        <w:t xml:space="preserve">В Минусинске действуют различные промышленные предприятия, включая агропромышленные компании, предприятия по переработке сельскохозяйственной продукции, деревообрабатывающий комбинат, строительные организации, а также малый и средний бизнес. Благодаря этому город имеет разнообразную экономическую структуру и способен обеспечивать своих жителей множеством рабочих мест в различных сферах. </w:t>
      </w:r>
    </w:p>
    <w:p w:rsidR="00D14849" w:rsidRDefault="000F3183" w:rsidP="00D073A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отсутствие крупных промышленных предприятий, </w:t>
      </w:r>
      <w:r w:rsidR="00D14849" w:rsidRPr="00D14849">
        <w:rPr>
          <w:rFonts w:ascii="Times New Roman" w:hAnsi="Times New Roman" w:cs="Times New Roman"/>
          <w:sz w:val="24"/>
          <w:szCs w:val="24"/>
        </w:rPr>
        <w:t>Минусинск</w:t>
      </w:r>
      <w:r>
        <w:rPr>
          <w:rFonts w:ascii="Times New Roman" w:hAnsi="Times New Roman" w:cs="Times New Roman"/>
          <w:sz w:val="24"/>
          <w:szCs w:val="24"/>
        </w:rPr>
        <w:t xml:space="preserve"> из года в год остается одним из самых загрязненных городов России. </w:t>
      </w:r>
      <w:r w:rsidR="00D14849" w:rsidRPr="000F3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официальным данным в 2021 году уровень загрязнения атмосферного воздуха вредными веществами на территории города оценивался</w:t>
      </w:r>
      <w:r w:rsidR="00D14849" w:rsidRPr="000F3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"очень высокий"</w:t>
      </w:r>
      <w:r w:rsidR="00A31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(таблица 1)</w:t>
      </w:r>
      <w:r w:rsidR="00D14849" w:rsidRPr="000F3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F3183">
        <w:rPr>
          <w:rFonts w:ascii="Times New Roman" w:hAnsi="Times New Roman" w:cs="Times New Roman"/>
          <w:color w:val="000000" w:themeColor="text1"/>
          <w:sz w:val="24"/>
          <w:szCs w:val="24"/>
        </w:rPr>
        <w:t>Причинами такого ухудшения качества воздуха явля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F3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</w:t>
      </w:r>
      <w:r w:rsidR="00A31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воздушном бассейне так веществ, как: оксид углерода, формальдегид, диоксид азота, взвешенные вещества, а также </w:t>
      </w:r>
      <w:proofErr w:type="spellStart"/>
      <w:r w:rsidRPr="000F3183">
        <w:rPr>
          <w:rFonts w:ascii="Times New Roman" w:hAnsi="Times New Roman" w:cs="Times New Roman"/>
          <w:color w:val="000000" w:themeColor="text1"/>
          <w:sz w:val="24"/>
          <w:szCs w:val="24"/>
        </w:rPr>
        <w:t>бенз</w:t>
      </w:r>
      <w:proofErr w:type="spellEnd"/>
      <w:r w:rsidRPr="000F3183">
        <w:rPr>
          <w:rFonts w:ascii="Times New Roman" w:hAnsi="Times New Roman" w:cs="Times New Roman"/>
          <w:color w:val="000000" w:themeColor="text1"/>
          <w:sz w:val="24"/>
          <w:szCs w:val="24"/>
        </w:rPr>
        <w:t>(а)</w:t>
      </w:r>
      <w:proofErr w:type="spellStart"/>
      <w:r w:rsidRPr="000F3183">
        <w:rPr>
          <w:rFonts w:ascii="Times New Roman" w:hAnsi="Times New Roman" w:cs="Times New Roman"/>
          <w:color w:val="000000" w:themeColor="text1"/>
          <w:sz w:val="24"/>
          <w:szCs w:val="24"/>
        </w:rPr>
        <w:t>пирен</w:t>
      </w:r>
      <w:proofErr w:type="spellEnd"/>
      <w:r w:rsidRPr="000F3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1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[1]. </w:t>
      </w:r>
    </w:p>
    <w:p w:rsidR="00DB2999" w:rsidRDefault="00DB2999" w:rsidP="00DB29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32DFD" w:rsidRDefault="0034528A" w:rsidP="0063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Pr="0034528A">
        <w:rPr>
          <w:rFonts w:ascii="Times New Roman" w:hAnsi="Times New Roman" w:cs="Times New Roman"/>
          <w:sz w:val="24"/>
          <w:szCs w:val="24"/>
        </w:rPr>
        <w:t>.</w:t>
      </w:r>
      <w:r w:rsidR="00632DFD">
        <w:rPr>
          <w:rFonts w:ascii="Times New Roman" w:hAnsi="Times New Roman" w:cs="Times New Roman"/>
          <w:sz w:val="24"/>
          <w:szCs w:val="24"/>
        </w:rPr>
        <w:t xml:space="preserve"> </w:t>
      </w:r>
      <w:r w:rsidR="00632DFD" w:rsidRPr="00632DFD">
        <w:rPr>
          <w:rFonts w:ascii="Times New Roman" w:hAnsi="Times New Roman" w:cs="Times New Roman"/>
          <w:sz w:val="24"/>
          <w:szCs w:val="24"/>
        </w:rPr>
        <w:t>Характеристик</w:t>
      </w:r>
      <w:r w:rsidR="00A3129F">
        <w:rPr>
          <w:rFonts w:ascii="Times New Roman" w:hAnsi="Times New Roman" w:cs="Times New Roman"/>
          <w:sz w:val="24"/>
          <w:szCs w:val="24"/>
        </w:rPr>
        <w:t>а</w:t>
      </w:r>
      <w:r w:rsidR="00632DFD" w:rsidRPr="00632DFD">
        <w:rPr>
          <w:rFonts w:ascii="Times New Roman" w:hAnsi="Times New Roman" w:cs="Times New Roman"/>
          <w:sz w:val="24"/>
          <w:szCs w:val="24"/>
        </w:rPr>
        <w:t xml:space="preserve"> </w:t>
      </w:r>
      <w:r w:rsidR="00A3129F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632DFD" w:rsidRPr="00632DFD">
        <w:rPr>
          <w:rFonts w:ascii="Times New Roman" w:hAnsi="Times New Roman" w:cs="Times New Roman"/>
          <w:sz w:val="24"/>
          <w:szCs w:val="24"/>
        </w:rPr>
        <w:t xml:space="preserve">загрязнения </w:t>
      </w:r>
      <w:r w:rsidR="00A3129F">
        <w:rPr>
          <w:rFonts w:ascii="Times New Roman" w:hAnsi="Times New Roman" w:cs="Times New Roman"/>
          <w:sz w:val="24"/>
          <w:szCs w:val="24"/>
        </w:rPr>
        <w:t xml:space="preserve">атмосферного </w:t>
      </w:r>
      <w:r w:rsidR="00632DFD" w:rsidRPr="00632DFD">
        <w:rPr>
          <w:rFonts w:ascii="Times New Roman" w:hAnsi="Times New Roman" w:cs="Times New Roman"/>
          <w:sz w:val="24"/>
          <w:szCs w:val="24"/>
        </w:rPr>
        <w:t>воздуха в</w:t>
      </w:r>
      <w:r w:rsidR="00632DFD">
        <w:rPr>
          <w:rFonts w:ascii="Times New Roman" w:hAnsi="Times New Roman" w:cs="Times New Roman"/>
          <w:sz w:val="24"/>
          <w:szCs w:val="24"/>
        </w:rPr>
        <w:t xml:space="preserve"> городах Красноярского края</w:t>
      </w:r>
      <w:r w:rsidR="00632DFD" w:rsidRPr="00632DFD">
        <w:rPr>
          <w:rFonts w:ascii="Times New Roman" w:hAnsi="Times New Roman" w:cs="Times New Roman"/>
          <w:sz w:val="24"/>
          <w:szCs w:val="24"/>
        </w:rPr>
        <w:t xml:space="preserve"> 2021 г.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1"/>
        <w:gridCol w:w="661"/>
        <w:gridCol w:w="1598"/>
        <w:gridCol w:w="609"/>
        <w:gridCol w:w="1483"/>
        <w:gridCol w:w="745"/>
        <w:gridCol w:w="1004"/>
        <w:gridCol w:w="1743"/>
      </w:tblGrid>
      <w:tr w:rsidR="00632DFD" w:rsidRPr="00632DFD" w:rsidTr="00BF06A1">
        <w:trPr>
          <w:trHeight w:val="541"/>
          <w:jc w:val="center"/>
        </w:trPr>
        <w:tc>
          <w:tcPr>
            <w:tcW w:w="1331" w:type="dxa"/>
            <w:vAlign w:val="center"/>
          </w:tcPr>
          <w:p w:rsidR="007D2EA8" w:rsidRPr="0034528A" w:rsidRDefault="007D2EA8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4528A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</w:p>
        </w:tc>
        <w:tc>
          <w:tcPr>
            <w:tcW w:w="661" w:type="dxa"/>
            <w:vAlign w:val="center"/>
          </w:tcPr>
          <w:p w:rsidR="007D2EA8" w:rsidRPr="0034528A" w:rsidRDefault="007D2EA8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4528A">
              <w:rPr>
                <w:rFonts w:ascii="Times New Roman" w:eastAsia="Times New Roman" w:hAnsi="Times New Roman" w:cs="Times New Roman"/>
                <w:position w:val="2"/>
                <w:lang w:val="ru-RU"/>
              </w:rPr>
              <w:t>ИЗА</w:t>
            </w:r>
            <w:r w:rsidRPr="0034528A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598" w:type="dxa"/>
            <w:vAlign w:val="center"/>
          </w:tcPr>
          <w:p w:rsidR="007D2EA8" w:rsidRPr="00A3129F" w:rsidRDefault="00A3129F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ЗВ</w:t>
            </w:r>
          </w:p>
        </w:tc>
        <w:tc>
          <w:tcPr>
            <w:tcW w:w="609" w:type="dxa"/>
            <w:vAlign w:val="center"/>
          </w:tcPr>
          <w:p w:rsidR="007D2EA8" w:rsidRPr="0034528A" w:rsidRDefault="007D2EA8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4528A">
              <w:rPr>
                <w:rFonts w:ascii="Times New Roman" w:eastAsia="Times New Roman" w:hAnsi="Times New Roman" w:cs="Times New Roman"/>
                <w:lang w:val="ru-RU"/>
              </w:rPr>
              <w:t>СИ</w:t>
            </w:r>
          </w:p>
        </w:tc>
        <w:tc>
          <w:tcPr>
            <w:tcW w:w="1483" w:type="dxa"/>
            <w:vAlign w:val="center"/>
          </w:tcPr>
          <w:p w:rsidR="007D2EA8" w:rsidRPr="00A3129F" w:rsidRDefault="00A3129F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ЗВ</w:t>
            </w:r>
          </w:p>
        </w:tc>
        <w:tc>
          <w:tcPr>
            <w:tcW w:w="745" w:type="dxa"/>
            <w:vAlign w:val="center"/>
          </w:tcPr>
          <w:p w:rsidR="007D2EA8" w:rsidRPr="0034528A" w:rsidRDefault="007D2EA8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4528A">
              <w:rPr>
                <w:rFonts w:ascii="Times New Roman" w:eastAsia="Times New Roman" w:hAnsi="Times New Roman" w:cs="Times New Roman"/>
                <w:lang w:val="ru-RU"/>
              </w:rPr>
              <w:t>НП,</w:t>
            </w:r>
            <w:r w:rsidRPr="003452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4528A">
              <w:rPr>
                <w:rFonts w:ascii="Times New Roman" w:eastAsia="Times New Roman" w:hAnsi="Times New Roman" w:cs="Times New Roman"/>
                <w:lang w:val="ru-RU"/>
              </w:rPr>
              <w:t>%</w:t>
            </w:r>
          </w:p>
        </w:tc>
        <w:tc>
          <w:tcPr>
            <w:tcW w:w="1004" w:type="dxa"/>
            <w:vAlign w:val="center"/>
          </w:tcPr>
          <w:p w:rsidR="007D2EA8" w:rsidRPr="00A3129F" w:rsidRDefault="00A3129F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ЗВ</w:t>
            </w:r>
          </w:p>
        </w:tc>
        <w:tc>
          <w:tcPr>
            <w:tcW w:w="1743" w:type="dxa"/>
            <w:vAlign w:val="center"/>
          </w:tcPr>
          <w:p w:rsidR="007D2EA8" w:rsidRPr="0034528A" w:rsidRDefault="007D2EA8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4528A">
              <w:rPr>
                <w:rFonts w:ascii="Times New Roman" w:eastAsia="Times New Roman" w:hAnsi="Times New Roman" w:cs="Times New Roman"/>
                <w:lang w:val="ru-RU"/>
              </w:rPr>
              <w:t>Уровень</w:t>
            </w:r>
          </w:p>
          <w:p w:rsidR="007D2EA8" w:rsidRPr="0034528A" w:rsidRDefault="007D2EA8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4528A">
              <w:rPr>
                <w:rFonts w:ascii="Times New Roman" w:eastAsia="Times New Roman" w:hAnsi="Times New Roman" w:cs="Times New Roman"/>
                <w:lang w:val="ru-RU"/>
              </w:rPr>
              <w:t>загрязнения</w:t>
            </w:r>
          </w:p>
        </w:tc>
      </w:tr>
      <w:tr w:rsidR="00632DFD" w:rsidRPr="00632DFD" w:rsidTr="00291E83">
        <w:trPr>
          <w:trHeight w:val="563"/>
          <w:jc w:val="center"/>
        </w:trPr>
        <w:tc>
          <w:tcPr>
            <w:tcW w:w="1331" w:type="dxa"/>
            <w:vAlign w:val="center"/>
          </w:tcPr>
          <w:p w:rsidR="007D2EA8" w:rsidRPr="0034528A" w:rsidRDefault="007D2EA8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4528A">
              <w:rPr>
                <w:rFonts w:ascii="Times New Roman" w:eastAsia="Times New Roman" w:hAnsi="Times New Roman" w:cs="Times New Roman"/>
                <w:lang w:val="ru-RU"/>
              </w:rPr>
              <w:t>Красноярск</w:t>
            </w:r>
          </w:p>
        </w:tc>
        <w:tc>
          <w:tcPr>
            <w:tcW w:w="661" w:type="dxa"/>
            <w:vAlign w:val="center"/>
          </w:tcPr>
          <w:p w:rsidR="007D2EA8" w:rsidRPr="0034528A" w:rsidRDefault="007D2EA8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4528A">
              <w:rPr>
                <w:rFonts w:ascii="Times New Roman" w:eastAsia="Times New Roman" w:hAnsi="Times New Roman" w:cs="Times New Roman"/>
                <w:lang w:val="ru-RU"/>
              </w:rPr>
              <w:t>&gt;14</w:t>
            </w:r>
          </w:p>
        </w:tc>
        <w:tc>
          <w:tcPr>
            <w:tcW w:w="1598" w:type="dxa"/>
            <w:vAlign w:val="center"/>
          </w:tcPr>
          <w:p w:rsidR="007D2EA8" w:rsidRPr="007D2EA8" w:rsidRDefault="00BF06A1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bookmarkStart w:id="0" w:name="_Hlk131955401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, </w:t>
            </w:r>
            <w:r w:rsidRPr="00BF06A1">
              <w:rPr>
                <w:rFonts w:ascii="Times New Roman" w:eastAsia="Times New Roman" w:hAnsi="Times New Roman" w:cs="Times New Roman"/>
                <w:lang w:val="ru-RU"/>
              </w:rPr>
              <w:t>NО</w:t>
            </w:r>
            <w:r w:rsidRPr="00BF06A1">
              <w:rPr>
                <w:rFonts w:ascii="Times New Roman" w:eastAsia="Times New Roman" w:hAnsi="Times New Roman" w:cs="Times New Roman"/>
                <w:vertAlign w:val="subscript"/>
                <w:lang w:val="ru-RU"/>
              </w:rPr>
              <w:t>2</w:t>
            </w:r>
            <w:r w:rsidR="007D2EA8" w:rsidRPr="007D2EA8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7D2EA8" w:rsidRPr="007D2EA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F06A1">
              <w:rPr>
                <w:rFonts w:ascii="Times New Roman" w:eastAsia="Times New Roman" w:hAnsi="Times New Roman" w:cs="Times New Roman"/>
                <w:lang w:val="ru-RU"/>
              </w:rPr>
              <w:t>NО</w:t>
            </w:r>
            <w:r w:rsidR="007D2EA8" w:rsidRPr="007D2EA8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7D2EA8" w:rsidRPr="007D2EA8" w:rsidRDefault="00BF06A1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="007D2EA8" w:rsidRPr="007D2EA8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7D2EA8" w:rsidRPr="007D2EA8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БП</w:t>
            </w:r>
            <w:bookmarkEnd w:id="0"/>
          </w:p>
        </w:tc>
        <w:tc>
          <w:tcPr>
            <w:tcW w:w="609" w:type="dxa"/>
            <w:vAlign w:val="center"/>
          </w:tcPr>
          <w:p w:rsidR="007D2EA8" w:rsidRPr="0034528A" w:rsidRDefault="007D2EA8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4528A">
              <w:rPr>
                <w:rFonts w:ascii="Times New Roman" w:eastAsia="Times New Roman" w:hAnsi="Times New Roman" w:cs="Times New Roman"/>
                <w:lang w:val="ru-RU"/>
              </w:rPr>
              <w:t>24,36</w:t>
            </w:r>
          </w:p>
        </w:tc>
        <w:tc>
          <w:tcPr>
            <w:tcW w:w="1483" w:type="dxa"/>
            <w:vAlign w:val="center"/>
          </w:tcPr>
          <w:p w:rsidR="007D2EA8" w:rsidRPr="00BF06A1" w:rsidRDefault="00BF06A1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="00A3129F">
              <w:rPr>
                <w:rFonts w:ascii="Times New Roman" w:eastAsia="Times New Roman" w:hAnsi="Times New Roman" w:cs="Times New Roman"/>
                <w:lang w:val="ru-RU"/>
              </w:rPr>
              <w:t>П</w:t>
            </w:r>
          </w:p>
        </w:tc>
        <w:tc>
          <w:tcPr>
            <w:tcW w:w="745" w:type="dxa"/>
            <w:vAlign w:val="center"/>
          </w:tcPr>
          <w:p w:rsidR="007D2EA8" w:rsidRPr="0034528A" w:rsidRDefault="007D2EA8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4528A">
              <w:rPr>
                <w:rFonts w:ascii="Times New Roman" w:eastAsia="Times New Roman" w:hAnsi="Times New Roman" w:cs="Times New Roman"/>
                <w:lang w:val="ru-RU"/>
              </w:rPr>
              <w:t>24,0</w:t>
            </w:r>
          </w:p>
        </w:tc>
        <w:tc>
          <w:tcPr>
            <w:tcW w:w="1004" w:type="dxa"/>
            <w:vAlign w:val="center"/>
          </w:tcPr>
          <w:p w:rsidR="007D2EA8" w:rsidRPr="00BF06A1" w:rsidRDefault="00BF06A1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</w:t>
            </w:r>
          </w:p>
        </w:tc>
        <w:tc>
          <w:tcPr>
            <w:tcW w:w="1743" w:type="dxa"/>
            <w:vAlign w:val="center"/>
          </w:tcPr>
          <w:p w:rsidR="007D2EA8" w:rsidRPr="0034528A" w:rsidRDefault="007D2EA8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4528A">
              <w:rPr>
                <w:rFonts w:ascii="Times New Roman" w:eastAsia="Times New Roman" w:hAnsi="Times New Roman" w:cs="Times New Roman"/>
                <w:lang w:val="ru-RU"/>
              </w:rPr>
              <w:t>Очень</w:t>
            </w:r>
            <w:r w:rsidRPr="003452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4528A">
              <w:rPr>
                <w:rFonts w:ascii="Times New Roman" w:eastAsia="Times New Roman" w:hAnsi="Times New Roman" w:cs="Times New Roman"/>
                <w:lang w:val="ru-RU"/>
              </w:rPr>
              <w:t>высокий</w:t>
            </w:r>
          </w:p>
        </w:tc>
      </w:tr>
      <w:tr w:rsidR="007D2EA8" w:rsidRPr="00632DFD" w:rsidTr="00291E83">
        <w:trPr>
          <w:trHeight w:val="557"/>
          <w:jc w:val="center"/>
        </w:trPr>
        <w:tc>
          <w:tcPr>
            <w:tcW w:w="1331" w:type="dxa"/>
            <w:vAlign w:val="center"/>
          </w:tcPr>
          <w:p w:rsidR="007D2EA8" w:rsidRPr="0034528A" w:rsidRDefault="007D2EA8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4528A">
              <w:rPr>
                <w:rFonts w:ascii="Times New Roman" w:hAnsi="Times New Roman" w:cs="Times New Roman"/>
                <w:lang w:val="ru-RU"/>
              </w:rPr>
              <w:t>Норильск</w:t>
            </w:r>
          </w:p>
        </w:tc>
        <w:tc>
          <w:tcPr>
            <w:tcW w:w="661" w:type="dxa"/>
            <w:vAlign w:val="center"/>
          </w:tcPr>
          <w:p w:rsidR="007D2EA8" w:rsidRPr="0034528A" w:rsidRDefault="007D2EA8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4528A">
              <w:rPr>
                <w:rFonts w:ascii="Times New Roman" w:hAnsi="Times New Roman" w:cs="Times New Roman"/>
                <w:lang w:val="ru-RU"/>
              </w:rPr>
              <w:t>&gt;7</w:t>
            </w:r>
          </w:p>
        </w:tc>
        <w:tc>
          <w:tcPr>
            <w:tcW w:w="1598" w:type="dxa"/>
            <w:vAlign w:val="center"/>
          </w:tcPr>
          <w:p w:rsidR="00BF06A1" w:rsidRPr="00BF06A1" w:rsidRDefault="00BF06A1" w:rsidP="00BF06A1">
            <w:pPr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BF06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ВВ</w:t>
            </w:r>
            <w:proofErr w:type="gramEnd"/>
            <w:r w:rsidRPr="00BF06A1">
              <w:rPr>
                <w:rFonts w:ascii="Times New Roman" w:eastAsia="Times New Roman" w:hAnsi="Times New Roman" w:cs="Times New Roman"/>
                <w:spacing w:val="-1"/>
              </w:rPr>
              <w:t>,  N</w:t>
            </w:r>
            <w:r w:rsidRPr="00BF06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BF06A1">
              <w:rPr>
                <w:rFonts w:ascii="Times New Roman" w:eastAsia="Times New Roman" w:hAnsi="Times New Roman" w:cs="Times New Roman"/>
                <w:spacing w:val="-1"/>
                <w:vertAlign w:val="subscript"/>
              </w:rPr>
              <w:t>2</w:t>
            </w:r>
            <w:r w:rsidRPr="00BF06A1">
              <w:rPr>
                <w:rFonts w:ascii="Times New Roman" w:eastAsia="Times New Roman" w:hAnsi="Times New Roman" w:cs="Times New Roman"/>
                <w:spacing w:val="-1"/>
              </w:rPr>
              <w:t>, N</w:t>
            </w:r>
            <w:r w:rsidRPr="00BF06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BF06A1">
              <w:rPr>
                <w:rFonts w:ascii="Times New Roman" w:eastAsia="Times New Roman" w:hAnsi="Times New Roman" w:cs="Times New Roman"/>
                <w:spacing w:val="-1"/>
              </w:rPr>
              <w:t>,</w:t>
            </w:r>
          </w:p>
          <w:p w:rsidR="007D2EA8" w:rsidRPr="00BF06A1" w:rsidRDefault="00BF06A1" w:rsidP="00BF06A1">
            <w:pPr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BF06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BF06A1">
              <w:rPr>
                <w:rFonts w:ascii="Times New Roman" w:eastAsia="Times New Roman" w:hAnsi="Times New Roman" w:cs="Times New Roman"/>
                <w:spacing w:val="-1"/>
              </w:rPr>
              <w:t>, SO</w:t>
            </w:r>
            <w:r w:rsidRPr="00BF06A1">
              <w:rPr>
                <w:rFonts w:ascii="Times New Roman" w:eastAsia="Times New Roman" w:hAnsi="Times New Roman" w:cs="Times New Roman"/>
                <w:spacing w:val="-1"/>
                <w:vertAlign w:val="subscript"/>
              </w:rPr>
              <w:t>2</w:t>
            </w:r>
            <w:r w:rsidRPr="00BF06A1">
              <w:rPr>
                <w:rFonts w:ascii="Times New Roman" w:eastAsia="Times New Roman" w:hAnsi="Times New Roman" w:cs="Times New Roman"/>
                <w:spacing w:val="-1"/>
              </w:rPr>
              <w:t xml:space="preserve">, </w:t>
            </w:r>
            <w:r w:rsidRPr="00BF06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БП</w:t>
            </w:r>
          </w:p>
        </w:tc>
        <w:tc>
          <w:tcPr>
            <w:tcW w:w="609" w:type="dxa"/>
            <w:vAlign w:val="center"/>
          </w:tcPr>
          <w:p w:rsidR="007D2EA8" w:rsidRPr="00632DFD" w:rsidRDefault="007D2EA8" w:rsidP="007D2E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DFD">
              <w:rPr>
                <w:rFonts w:ascii="Times New Roman" w:hAnsi="Times New Roman" w:cs="Times New Roman"/>
              </w:rPr>
              <w:t>42,88</w:t>
            </w:r>
          </w:p>
        </w:tc>
        <w:tc>
          <w:tcPr>
            <w:tcW w:w="1483" w:type="dxa"/>
            <w:vAlign w:val="center"/>
          </w:tcPr>
          <w:p w:rsidR="007D2EA8" w:rsidRPr="00632DFD" w:rsidRDefault="00BF06A1" w:rsidP="007D2E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06A1">
              <w:rPr>
                <w:rFonts w:ascii="Times New Roman" w:hAnsi="Times New Roman" w:cs="Times New Roman"/>
                <w:lang w:val="ru-RU"/>
              </w:rPr>
              <w:t>H</w:t>
            </w:r>
            <w:r w:rsidRPr="00BF06A1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BF06A1">
              <w:rPr>
                <w:rFonts w:ascii="Times New Roman" w:hAnsi="Times New Roman" w:cs="Times New Roman"/>
                <w:lang w:val="ru-RU"/>
              </w:rPr>
              <w:t>S</w:t>
            </w:r>
          </w:p>
        </w:tc>
        <w:tc>
          <w:tcPr>
            <w:tcW w:w="745" w:type="dxa"/>
            <w:vAlign w:val="center"/>
          </w:tcPr>
          <w:p w:rsidR="007D2EA8" w:rsidRPr="00632DFD" w:rsidRDefault="007D2EA8" w:rsidP="007D2E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DF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004" w:type="dxa"/>
            <w:vAlign w:val="center"/>
          </w:tcPr>
          <w:p w:rsidR="007D2EA8" w:rsidRPr="00632DFD" w:rsidRDefault="00BF06A1" w:rsidP="007D2E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06A1">
              <w:rPr>
                <w:rFonts w:ascii="Times New Roman" w:hAnsi="Times New Roman" w:cs="Times New Roman"/>
                <w:lang w:val="ru-RU"/>
              </w:rPr>
              <w:t>SO</w:t>
            </w:r>
            <w:r w:rsidRPr="00BF06A1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</w:p>
        </w:tc>
        <w:tc>
          <w:tcPr>
            <w:tcW w:w="1743" w:type="dxa"/>
            <w:vAlign w:val="center"/>
          </w:tcPr>
          <w:p w:rsidR="007D2EA8" w:rsidRPr="00632DFD" w:rsidRDefault="007D2EA8" w:rsidP="007D2E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DFD">
              <w:rPr>
                <w:rFonts w:ascii="Times New Roman" w:hAnsi="Times New Roman" w:cs="Times New Roman"/>
              </w:rPr>
              <w:t>Очень</w:t>
            </w:r>
            <w:r w:rsidRPr="00632DF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32DFD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632DFD" w:rsidRPr="00632DFD" w:rsidTr="00291E83">
        <w:trPr>
          <w:trHeight w:val="551"/>
          <w:jc w:val="center"/>
        </w:trPr>
        <w:tc>
          <w:tcPr>
            <w:tcW w:w="1331" w:type="dxa"/>
            <w:vAlign w:val="center"/>
          </w:tcPr>
          <w:p w:rsidR="007D2EA8" w:rsidRPr="007D2EA8" w:rsidRDefault="007D2EA8" w:rsidP="007D2E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EA8">
              <w:rPr>
                <w:rFonts w:ascii="Times New Roman" w:eastAsia="Times New Roman" w:hAnsi="Times New Roman" w:cs="Times New Roman"/>
              </w:rPr>
              <w:t>Минусинск</w:t>
            </w:r>
          </w:p>
        </w:tc>
        <w:tc>
          <w:tcPr>
            <w:tcW w:w="661" w:type="dxa"/>
            <w:vAlign w:val="center"/>
          </w:tcPr>
          <w:p w:rsidR="007D2EA8" w:rsidRPr="007D2EA8" w:rsidRDefault="007D2EA8" w:rsidP="007D2E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EA8">
              <w:rPr>
                <w:rFonts w:ascii="Times New Roman" w:eastAsia="Times New Roman" w:hAnsi="Times New Roman" w:cs="Times New Roman"/>
              </w:rPr>
              <w:t>&gt;14</w:t>
            </w:r>
          </w:p>
        </w:tc>
        <w:tc>
          <w:tcPr>
            <w:tcW w:w="1598" w:type="dxa"/>
            <w:vAlign w:val="center"/>
          </w:tcPr>
          <w:p w:rsidR="00BF06A1" w:rsidRPr="00BF06A1" w:rsidRDefault="00BF06A1" w:rsidP="00BF06A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F06A1">
              <w:rPr>
                <w:rFonts w:ascii="Times New Roman" w:eastAsia="Times New Roman" w:hAnsi="Times New Roman" w:cs="Times New Roman"/>
                <w:lang w:val="ru-RU"/>
              </w:rPr>
              <w:t>ВВ, NО</w:t>
            </w:r>
            <w:r w:rsidRPr="00BF06A1">
              <w:rPr>
                <w:rFonts w:ascii="Times New Roman" w:eastAsia="Times New Roman" w:hAnsi="Times New Roman" w:cs="Times New Roman"/>
                <w:vertAlign w:val="subscript"/>
                <w:lang w:val="ru-RU"/>
              </w:rPr>
              <w:t>2</w:t>
            </w:r>
            <w:r w:rsidRPr="00BF06A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BF06A1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7D2EA8" w:rsidRPr="007D2EA8" w:rsidRDefault="00BF06A1" w:rsidP="00BF06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06A1">
              <w:rPr>
                <w:rFonts w:ascii="Times New Roman" w:eastAsia="Times New Roman" w:hAnsi="Times New Roman" w:cs="Times New Roman"/>
                <w:lang w:val="ru-RU"/>
              </w:rPr>
              <w:t>Ф, БП</w:t>
            </w:r>
          </w:p>
        </w:tc>
        <w:tc>
          <w:tcPr>
            <w:tcW w:w="609" w:type="dxa"/>
            <w:vAlign w:val="center"/>
          </w:tcPr>
          <w:p w:rsidR="007D2EA8" w:rsidRPr="007D2EA8" w:rsidRDefault="007D2EA8" w:rsidP="007D2E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EA8">
              <w:rPr>
                <w:rFonts w:ascii="Times New Roman" w:eastAsia="Times New Roman" w:hAnsi="Times New Roman" w:cs="Times New Roman"/>
              </w:rPr>
              <w:t>33,99</w:t>
            </w:r>
          </w:p>
        </w:tc>
        <w:tc>
          <w:tcPr>
            <w:tcW w:w="1483" w:type="dxa"/>
            <w:vAlign w:val="center"/>
          </w:tcPr>
          <w:p w:rsidR="007D2EA8" w:rsidRPr="00A3129F" w:rsidRDefault="00A3129F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БП</w:t>
            </w:r>
          </w:p>
        </w:tc>
        <w:tc>
          <w:tcPr>
            <w:tcW w:w="745" w:type="dxa"/>
            <w:vAlign w:val="center"/>
          </w:tcPr>
          <w:p w:rsidR="007D2EA8" w:rsidRPr="007D2EA8" w:rsidRDefault="007D2EA8" w:rsidP="007D2E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EA8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004" w:type="dxa"/>
            <w:vAlign w:val="center"/>
          </w:tcPr>
          <w:p w:rsidR="007D2EA8" w:rsidRPr="00BF06A1" w:rsidRDefault="00BF06A1" w:rsidP="007D2EA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ВВ</w:t>
            </w:r>
          </w:p>
        </w:tc>
        <w:tc>
          <w:tcPr>
            <w:tcW w:w="1743" w:type="dxa"/>
            <w:vAlign w:val="center"/>
          </w:tcPr>
          <w:p w:rsidR="007D2EA8" w:rsidRPr="007D2EA8" w:rsidRDefault="007D2EA8" w:rsidP="007D2E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2EA8">
              <w:rPr>
                <w:rFonts w:ascii="Times New Roman" w:eastAsia="Times New Roman" w:hAnsi="Times New Roman" w:cs="Times New Roman"/>
              </w:rPr>
              <w:t>Очень</w:t>
            </w:r>
            <w:r w:rsidRPr="007D2EA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D2EA8">
              <w:rPr>
                <w:rFonts w:ascii="Times New Roman" w:eastAsia="Times New Roman" w:hAnsi="Times New Roman" w:cs="Times New Roman"/>
              </w:rPr>
              <w:t>высокий</w:t>
            </w:r>
          </w:p>
        </w:tc>
      </w:tr>
    </w:tbl>
    <w:p w:rsidR="00291E83" w:rsidRDefault="00291E83" w:rsidP="00DB299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29F" w:rsidRDefault="00A3129F" w:rsidP="00291E83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2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Эти загрязнители могут негативно влиять на здоровье горожан, вызывая различные заболевания </w:t>
      </w:r>
      <w:proofErr w:type="gramStart"/>
      <w:r w:rsidRPr="00A3129F">
        <w:rPr>
          <w:rFonts w:ascii="Times New Roman" w:hAnsi="Times New Roman" w:cs="Times New Roman"/>
          <w:color w:val="000000" w:themeColor="text1"/>
          <w:sz w:val="24"/>
          <w:szCs w:val="24"/>
        </w:rPr>
        <w:t>дыхательной</w:t>
      </w:r>
      <w:proofErr w:type="gramEnd"/>
      <w:r w:rsidRPr="00A31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сердечно-сосудистой систем, а также негативно влиять на окружающую среду.</w:t>
      </w:r>
    </w:p>
    <w:p w:rsidR="00DB2999" w:rsidRPr="00DB2999" w:rsidRDefault="00DB2999" w:rsidP="00291E83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 предприятием, </w:t>
      </w:r>
      <w:r w:rsidR="000F318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67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наибольши</w:t>
      </w:r>
      <w:r w:rsidR="000F3183">
        <w:rPr>
          <w:rFonts w:ascii="Times New Roman" w:hAnsi="Times New Roman" w:cs="Times New Roman"/>
          <w:color w:val="000000" w:themeColor="text1"/>
          <w:sz w:val="24"/>
          <w:szCs w:val="24"/>
        </w:rPr>
        <w:t>м количеством</w:t>
      </w:r>
      <w:r w:rsidRPr="00C67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выброс</w:t>
      </w:r>
      <w:r w:rsidR="000F318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C67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загрязняющих веществ в атмосферу, является Минусинская ТЭЦ</w:t>
      </w:r>
      <w:r w:rsidR="00291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299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14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2999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предназначенная для преобразования тепловой энергии органического топлива. На станции осуществляется комбинированное производство и отпуск двух видов энергии: тепловой – в виде горячей воды и электрической.</w:t>
      </w:r>
    </w:p>
    <w:p w:rsidR="00DB2999" w:rsidRPr="00C67F33" w:rsidRDefault="00DB2999" w:rsidP="00DB299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99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вид хозяйственной деятельности Минусинской ТЭЦ – обеспечение централизованного теплоснабжения промышленных предприятий и жилищно-коммунального сектора г. Минусинска, п. Зеленый бор, по</w:t>
      </w:r>
      <w:r w:rsidR="0034528A">
        <w:rPr>
          <w:rFonts w:ascii="Times New Roman" w:hAnsi="Times New Roman" w:cs="Times New Roman"/>
          <w:color w:val="000000" w:themeColor="text1"/>
          <w:sz w:val="24"/>
          <w:szCs w:val="24"/>
        </w:rPr>
        <w:t>крытие электрических нагрузок.</w:t>
      </w:r>
    </w:p>
    <w:p w:rsidR="00AA5056" w:rsidRDefault="00291E83" w:rsidP="00EC56D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91E83">
        <w:rPr>
          <w:rFonts w:ascii="Times New Roman" w:hAnsi="Times New Roman" w:cs="Times New Roman"/>
          <w:sz w:val="24"/>
          <w:szCs w:val="24"/>
        </w:rPr>
        <w:t xml:space="preserve">Согласно результатам инвентаризации, предприятие имеет 48 источников загрязнения, из которых 28 являются организованными, а 20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1E83">
        <w:rPr>
          <w:rFonts w:ascii="Times New Roman" w:hAnsi="Times New Roman" w:cs="Times New Roman"/>
          <w:sz w:val="24"/>
          <w:szCs w:val="24"/>
        </w:rPr>
        <w:t xml:space="preserve"> неорганизованными. В процессе производственной деятельности в атмосферный воздух выбрасывается 28 загрязняющих веществ, в том числе 15 твердых и 13 газообразных веществ. Наиболее значимым источником выбросов является основная площадка ТЭЦ, где </w:t>
      </w:r>
      <w:r w:rsidR="00AA5056">
        <w:rPr>
          <w:rFonts w:ascii="Times New Roman" w:hAnsi="Times New Roman" w:cs="Times New Roman"/>
          <w:sz w:val="24"/>
          <w:szCs w:val="24"/>
        </w:rPr>
        <w:t>более</w:t>
      </w:r>
      <w:r w:rsidRPr="00291E83">
        <w:rPr>
          <w:rFonts w:ascii="Times New Roman" w:hAnsi="Times New Roman" w:cs="Times New Roman"/>
          <w:sz w:val="24"/>
          <w:szCs w:val="24"/>
        </w:rPr>
        <w:t xml:space="preserve"> 9</w:t>
      </w:r>
      <w:r w:rsidR="00AA5056">
        <w:rPr>
          <w:rFonts w:ascii="Times New Roman" w:hAnsi="Times New Roman" w:cs="Times New Roman"/>
          <w:sz w:val="24"/>
          <w:szCs w:val="24"/>
        </w:rPr>
        <w:t>5</w:t>
      </w:r>
      <w:r w:rsidRPr="00291E83">
        <w:rPr>
          <w:rFonts w:ascii="Times New Roman" w:hAnsi="Times New Roman" w:cs="Times New Roman"/>
          <w:sz w:val="24"/>
          <w:szCs w:val="24"/>
        </w:rPr>
        <w:t xml:space="preserve">% годовых выбросов в атмосферный воздух </w:t>
      </w:r>
      <w:r w:rsidR="00844C16">
        <w:rPr>
          <w:rFonts w:ascii="Times New Roman" w:hAnsi="Times New Roman" w:cs="Times New Roman"/>
          <w:sz w:val="24"/>
          <w:szCs w:val="24"/>
        </w:rPr>
        <w:t xml:space="preserve">приходится на долю </w:t>
      </w:r>
      <w:r w:rsidRPr="00291E83">
        <w:rPr>
          <w:rFonts w:ascii="Times New Roman" w:hAnsi="Times New Roman" w:cs="Times New Roman"/>
          <w:sz w:val="24"/>
          <w:szCs w:val="24"/>
        </w:rPr>
        <w:t>продук</w:t>
      </w:r>
      <w:r w:rsidR="00844C16">
        <w:rPr>
          <w:rFonts w:ascii="Times New Roman" w:hAnsi="Times New Roman" w:cs="Times New Roman"/>
          <w:sz w:val="24"/>
          <w:szCs w:val="24"/>
        </w:rPr>
        <w:t>тов</w:t>
      </w:r>
      <w:r w:rsidRPr="00291E83">
        <w:rPr>
          <w:rFonts w:ascii="Times New Roman" w:hAnsi="Times New Roman" w:cs="Times New Roman"/>
          <w:sz w:val="24"/>
          <w:szCs w:val="24"/>
        </w:rPr>
        <w:t xml:space="preserve"> сгорания твердого топлива. Эти данные особенно важны для оценки экологической обстановки в регионе и требуют принятия соответствующих мер для снижения уровня загрязнения воздуха.</w:t>
      </w:r>
    </w:p>
    <w:p w:rsidR="00EC56DB" w:rsidRDefault="00F1522B" w:rsidP="00EC56D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оценки влияния предприятия теплоэнергетики на состояние атмосферного воздуха в городе Минусинск был проведен расчет рассеивания выбросов </w:t>
      </w:r>
      <w:r w:rsidR="00844C16">
        <w:rPr>
          <w:rFonts w:ascii="Times New Roman" w:hAnsi="Times New Roman" w:cs="Times New Roman"/>
          <w:color w:val="000000" w:themeColor="text1"/>
          <w:sz w:val="24"/>
          <w:szCs w:val="24"/>
        </w:rPr>
        <w:t>вредных</w:t>
      </w:r>
      <w:r w:rsidRPr="00E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веществ. Анализируемым источником является Дымовая труба №2, входящая в состав котлотурбинного цеха</w:t>
      </w:r>
      <w:r w:rsidR="00EC56DB" w:rsidRPr="00E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как от данного организованного источника в атмосферу поступает наибольшее количество вредных веществ.  </w:t>
      </w:r>
    </w:p>
    <w:p w:rsidR="00EC56DB" w:rsidRDefault="00EC56DB" w:rsidP="00EC56D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 </w:t>
      </w:r>
      <w:r w:rsidR="00844C16">
        <w:rPr>
          <w:rFonts w:ascii="Times New Roman" w:hAnsi="Times New Roman" w:cs="Times New Roman"/>
          <w:color w:val="000000" w:themeColor="text1"/>
          <w:sz w:val="24"/>
          <w:szCs w:val="24"/>
        </w:rPr>
        <w:t>проводился</w:t>
      </w:r>
      <w:r w:rsidRPr="00E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Приказа Министерства природных ресурсов и экологии Российской Федерации от 6 июня 2017 года № 273 «Об утверждении методов расчетов рассеивания выбросов вредных (загрязняющих) веществ в атмосферном воздухе»</w:t>
      </w:r>
      <w:r w:rsidR="00C67F33" w:rsidRPr="00C67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[2]</w:t>
      </w:r>
      <w:r w:rsidRPr="00EC56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5056" w:rsidRDefault="00AA5056" w:rsidP="00EC56D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056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результатов расчетов концентраций загрязняющих веществ, образующихся в результате выбросов ТЭЦ, было обнаружено превышение уровня ПДК по неорганической пыли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56DB">
        <w:rPr>
          <w:rFonts w:ascii="Times New Roman" w:hAnsi="Times New Roman" w:cs="Times New Roman"/>
          <w:color w:val="000000" w:themeColor="text1"/>
          <w:sz w:val="24"/>
          <w:szCs w:val="24"/>
        </w:rPr>
        <w:t>(с содержанием SiO</w:t>
      </w:r>
      <w:r w:rsidRPr="00EC56D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E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20-70%), значения которой на границе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санитарно-защитной зоны</w:t>
      </w:r>
      <w:r w:rsidRPr="00EC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1,4 ПДК, на границе жилой застройки – 1,6 ПДК, на расстоянии, на котором наблюдается максимальное значение концентрации – 1,61 ПДК.</w:t>
      </w:r>
      <w:r w:rsidRPr="00AA5056">
        <w:rPr>
          <w:rFonts w:ascii="Times New Roman" w:hAnsi="Times New Roman" w:cs="Times New Roman"/>
          <w:color w:val="000000" w:themeColor="text1"/>
          <w:sz w:val="24"/>
          <w:szCs w:val="24"/>
        </w:rPr>
        <w:t>. Эта ситуация является особенно тревожной, так как пыль может содержать различные токсичные вещества, которые могут негативно сказаться на здоровье людей и окружающей среды.</w:t>
      </w:r>
    </w:p>
    <w:p w:rsidR="00B6712E" w:rsidRPr="00B6712E" w:rsidRDefault="00AA5056" w:rsidP="00B6712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Следовательно, </w:t>
      </w:r>
      <w:r w:rsidR="00B6712E" w:rsidRPr="00B6712E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для очистки газов, применяемое на ТЭЦ, имеет недостаточную эффективность очистки газовоздушного потока от неорганической пыли.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5056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предотвращения негативных последствий необходимо принять меры, направленные на снижение уровня выбросов и улучшение качества воздуха в регионе.</w:t>
      </w:r>
    </w:p>
    <w:p w:rsidR="00F1522B" w:rsidRDefault="00B6712E" w:rsidP="00B6712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2E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вариантов решения проблемы превышения концентраци</w:t>
      </w:r>
      <w:r w:rsidR="00AA505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67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пыли в атмосферном воздухе является модернизация газоочистного оборудования, путем применения двухступенчатой системы очистки.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 первой ступени, для очистки воздушного потока от крупных фракций пыли целесообразно оставить существующий на предприятии батарейный циклон </w:t>
      </w:r>
      <w:r w:rsidRPr="00B6712E">
        <w:rPr>
          <w:rFonts w:ascii="Times New Roman" w:hAnsi="Times New Roman" w:cs="Times New Roman"/>
          <w:color w:val="000000" w:themeColor="text1"/>
          <w:sz w:val="24"/>
          <w:szCs w:val="24"/>
        </w:rPr>
        <w:t>типа БЦУ-М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качестве второй ступени добавить аппарат </w:t>
      </w:r>
      <w:r w:rsidRPr="00B6712E">
        <w:rPr>
          <w:rFonts w:ascii="Times New Roman" w:hAnsi="Times New Roman" w:cs="Times New Roman"/>
          <w:color w:val="000000" w:themeColor="text1"/>
          <w:sz w:val="24"/>
          <w:szCs w:val="24"/>
        </w:rPr>
        <w:t>тонкой очистки – электрофильтр. Комбинирование этих двух аппаратов позволит очищать дымовые газы от пыли с эффективностью 99,9%</w:t>
      </w:r>
      <w:r w:rsidR="00C67F33" w:rsidRPr="00554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[3]</w:t>
      </w:r>
      <w:r w:rsidRPr="00B671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712E" w:rsidRPr="00B6712E" w:rsidRDefault="00B6712E" w:rsidP="00C67F33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работы было выявлено превышение уровня ПДК по неорганической пыли. Существующая концентрация угрожает здоровью и благополучию нынешнего и будущих поколений, а также неблагоприятно воздействует на окружающую среду. </w:t>
      </w:r>
    </w:p>
    <w:p w:rsidR="00B6712E" w:rsidRPr="00B6712E" w:rsidRDefault="00B6712E" w:rsidP="00B6712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1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Предложенная модернизация обеспечивает комплексный эффект:</w:t>
      </w:r>
    </w:p>
    <w:p w:rsidR="00B6712E" w:rsidRPr="00B6712E" w:rsidRDefault="00C67F33" w:rsidP="00B6712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6712E" w:rsidRPr="00B67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уменьшение пылевых выбросов в атмосферу, что приведет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B6712E" w:rsidRPr="00B6712E">
        <w:rPr>
          <w:rFonts w:ascii="Times New Roman" w:hAnsi="Times New Roman" w:cs="Times New Roman"/>
          <w:color w:val="000000" w:themeColor="text1"/>
          <w:sz w:val="24"/>
          <w:szCs w:val="24"/>
        </w:rPr>
        <w:t>снижению антропогенного воздействия на окружающую среду;</w:t>
      </w:r>
    </w:p>
    <w:p w:rsidR="00B6712E" w:rsidRDefault="00C67F33" w:rsidP="00B6712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6712E" w:rsidRPr="00B6712E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предотвращение негативного воздействия на здоровье населения.</w:t>
      </w:r>
    </w:p>
    <w:p w:rsidR="0072263D" w:rsidRPr="0072263D" w:rsidRDefault="0072263D" w:rsidP="0072263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6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Литература</w:t>
      </w:r>
    </w:p>
    <w:p w:rsidR="0072263D" w:rsidRPr="0072263D" w:rsidRDefault="0072263D" w:rsidP="0072263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 состоянии и охране окружающей среды в Красноярском крае в 2021 году: Государственный доклад. – Министерство экологии и рационального природопользования Красноярского края, 2022. – 302 </w:t>
      </w:r>
      <w:r w:rsidRPr="00722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7226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263D" w:rsidRPr="0072263D" w:rsidRDefault="0072263D" w:rsidP="0072263D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Приказ от 6 июня 2017 года № 273 «Об утверждении методов расчетов рассеивания выбросов вредных (загрязняющих) веществ в атмосферном воздухе» [Электронный ресурс] - Режим доступа: https://docs.cntd.ru/document/456074826/. - </w:t>
      </w:r>
      <w:proofErr w:type="spellStart"/>
      <w:r w:rsidRPr="0072263D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72263D">
        <w:rPr>
          <w:rFonts w:ascii="Times New Roman" w:hAnsi="Times New Roman" w:cs="Times New Roman"/>
          <w:color w:val="000000" w:themeColor="text1"/>
          <w:sz w:val="24"/>
          <w:szCs w:val="24"/>
        </w:rPr>
        <w:t>. с экрана.</w:t>
      </w:r>
    </w:p>
    <w:p w:rsidR="0072263D" w:rsidRPr="0072263D" w:rsidRDefault="0072263D" w:rsidP="0072263D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Ветошкин, А.Г. Инженерная зашита окружающей среды от вредных выбросов: учеб. пособие / А.Г. Ветошкин. - 2-е изд., </w:t>
      </w:r>
      <w:proofErr w:type="spellStart"/>
      <w:r w:rsidRPr="0072263D">
        <w:rPr>
          <w:rFonts w:ascii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r w:rsidRPr="0072263D">
        <w:rPr>
          <w:rFonts w:ascii="Times New Roman" w:hAnsi="Times New Roman" w:cs="Times New Roman"/>
          <w:color w:val="000000" w:themeColor="text1"/>
          <w:sz w:val="24"/>
          <w:szCs w:val="24"/>
        </w:rPr>
        <w:t>. и доп. - Москва: Инфра-Инженерия, 2019. - 416 с.</w:t>
      </w:r>
    </w:p>
    <w:sectPr w:rsidR="0072263D" w:rsidRPr="0072263D" w:rsidSect="00FD506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4E6"/>
    <w:rsid w:val="00035843"/>
    <w:rsid w:val="000E0D04"/>
    <w:rsid w:val="000F3183"/>
    <w:rsid w:val="001769AC"/>
    <w:rsid w:val="0022719F"/>
    <w:rsid w:val="00246640"/>
    <w:rsid w:val="00291E83"/>
    <w:rsid w:val="0034528A"/>
    <w:rsid w:val="0039514A"/>
    <w:rsid w:val="005547F4"/>
    <w:rsid w:val="00587A0A"/>
    <w:rsid w:val="005B4D39"/>
    <w:rsid w:val="005D44E6"/>
    <w:rsid w:val="00614A22"/>
    <w:rsid w:val="00632DFD"/>
    <w:rsid w:val="006B2509"/>
    <w:rsid w:val="006B57EA"/>
    <w:rsid w:val="006E0B4B"/>
    <w:rsid w:val="0072263D"/>
    <w:rsid w:val="007D2EA8"/>
    <w:rsid w:val="00844C16"/>
    <w:rsid w:val="00905B91"/>
    <w:rsid w:val="00A3129F"/>
    <w:rsid w:val="00A706DE"/>
    <w:rsid w:val="00A82F5B"/>
    <w:rsid w:val="00AA5056"/>
    <w:rsid w:val="00B6712E"/>
    <w:rsid w:val="00BF06A1"/>
    <w:rsid w:val="00C67F33"/>
    <w:rsid w:val="00D073A0"/>
    <w:rsid w:val="00D14849"/>
    <w:rsid w:val="00DB2999"/>
    <w:rsid w:val="00DC4A07"/>
    <w:rsid w:val="00EC56DB"/>
    <w:rsid w:val="00EF46D2"/>
    <w:rsid w:val="00F1522B"/>
    <w:rsid w:val="00FD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0A"/>
  </w:style>
  <w:style w:type="paragraph" w:styleId="1">
    <w:name w:val="heading 1"/>
    <w:basedOn w:val="a"/>
    <w:next w:val="a"/>
    <w:link w:val="10"/>
    <w:uiPriority w:val="9"/>
    <w:qFormat/>
    <w:rsid w:val="000F3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0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506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D2E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2EA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1769A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69AC"/>
  </w:style>
  <w:style w:type="paragraph" w:styleId="a6">
    <w:name w:val="Normal (Web)"/>
    <w:basedOn w:val="a"/>
    <w:uiPriority w:val="99"/>
    <w:semiHidden/>
    <w:unhideWhenUsed/>
    <w:rsid w:val="00EC56D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31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delya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9</cp:revision>
  <cp:lastPrinted>2023-04-09T12:32:00Z</cp:lastPrinted>
  <dcterms:created xsi:type="dcterms:W3CDTF">2023-03-27T08:38:00Z</dcterms:created>
  <dcterms:modified xsi:type="dcterms:W3CDTF">2023-04-10T09:07:00Z</dcterms:modified>
</cp:coreProperties>
</file>