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81" w:rsidRDefault="000D0AE6" w:rsidP="001A25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41414"/>
        </w:rPr>
      </w:pPr>
      <w:r>
        <w:rPr>
          <w:b/>
          <w:color w:val="141414"/>
        </w:rPr>
        <w:t>Оценка факторов, влияющих на инфляционные процессы в России</w:t>
      </w:r>
    </w:p>
    <w:p w:rsidR="00204577" w:rsidRDefault="00204577" w:rsidP="000B2F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41414"/>
        </w:rPr>
      </w:pPr>
    </w:p>
    <w:p w:rsidR="00070981" w:rsidRPr="001A2570" w:rsidRDefault="00052A5D" w:rsidP="000B2F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41414"/>
        </w:rPr>
      </w:pPr>
      <w:proofErr w:type="spellStart"/>
      <w:r w:rsidRPr="001A2570">
        <w:rPr>
          <w:b/>
          <w:i/>
          <w:color w:val="141414"/>
        </w:rPr>
        <w:t>Некряч</w:t>
      </w:r>
      <w:proofErr w:type="spellEnd"/>
      <w:r w:rsidRPr="001A2570">
        <w:rPr>
          <w:b/>
          <w:i/>
          <w:color w:val="141414"/>
        </w:rPr>
        <w:t xml:space="preserve"> А.П.</w:t>
      </w:r>
    </w:p>
    <w:p w:rsidR="000B2FEF" w:rsidRDefault="00204577" w:rsidP="000B2FE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41414"/>
        </w:rPr>
      </w:pPr>
      <w:r>
        <w:rPr>
          <w:i/>
          <w:color w:val="141414"/>
        </w:rPr>
        <w:t>с</w:t>
      </w:r>
      <w:r w:rsidR="000B2FEF">
        <w:rPr>
          <w:i/>
          <w:color w:val="141414"/>
        </w:rPr>
        <w:t>тудент</w:t>
      </w:r>
    </w:p>
    <w:p w:rsidR="001A2570" w:rsidRPr="00204577" w:rsidRDefault="00204577" w:rsidP="000B2FEF">
      <w:pPr>
        <w:pStyle w:val="a3"/>
        <w:shd w:val="clear" w:color="auto" w:fill="FFFFFF"/>
        <w:spacing w:before="0" w:beforeAutospacing="0" w:after="0" w:afterAutospacing="0"/>
        <w:jc w:val="center"/>
        <w:rPr>
          <w:color w:val="141414"/>
        </w:rPr>
      </w:pPr>
      <w:r w:rsidRPr="00204577">
        <w:rPr>
          <w:color w:val="141414"/>
        </w:rPr>
        <w:t xml:space="preserve">Научный руководитель: </w:t>
      </w:r>
      <w:r w:rsidR="001A2570" w:rsidRPr="00204577">
        <w:rPr>
          <w:color w:val="141414"/>
        </w:rPr>
        <w:t xml:space="preserve">Кузнецова </w:t>
      </w:r>
      <w:r w:rsidRPr="00204577">
        <w:rPr>
          <w:color w:val="141414"/>
        </w:rPr>
        <w:t xml:space="preserve">Инна Геннадьевна, д-р </w:t>
      </w:r>
      <w:proofErr w:type="spellStart"/>
      <w:r w:rsidRPr="00204577">
        <w:rPr>
          <w:color w:val="141414"/>
        </w:rPr>
        <w:t>экон</w:t>
      </w:r>
      <w:proofErr w:type="spellEnd"/>
      <w:r w:rsidRPr="00204577">
        <w:rPr>
          <w:color w:val="141414"/>
        </w:rPr>
        <w:t xml:space="preserve">. наук, </w:t>
      </w:r>
      <w:r>
        <w:rPr>
          <w:color w:val="141414"/>
        </w:rPr>
        <w:t xml:space="preserve">доцент, </w:t>
      </w:r>
      <w:r w:rsidRPr="00204577">
        <w:rPr>
          <w:color w:val="141414"/>
        </w:rPr>
        <w:t>п</w:t>
      </w:r>
      <w:r w:rsidR="001A2570" w:rsidRPr="00204577">
        <w:rPr>
          <w:color w:val="141414"/>
        </w:rPr>
        <w:t>рофессор</w:t>
      </w:r>
      <w:r w:rsidRPr="00204577">
        <w:rPr>
          <w:color w:val="141414"/>
        </w:rPr>
        <w:t xml:space="preserve"> к</w:t>
      </w:r>
      <w:r w:rsidRPr="00204577">
        <w:rPr>
          <w:color w:val="141414"/>
        </w:rPr>
        <w:t>афедр</w:t>
      </w:r>
      <w:r w:rsidRPr="00204577">
        <w:rPr>
          <w:color w:val="141414"/>
        </w:rPr>
        <w:t xml:space="preserve">ы </w:t>
      </w:r>
      <w:r w:rsidRPr="00204577">
        <w:rPr>
          <w:color w:val="141414"/>
        </w:rPr>
        <w:t>управления и отраслевой экономики,</w:t>
      </w:r>
    </w:p>
    <w:p w:rsidR="001A2570" w:rsidRDefault="001A2570" w:rsidP="000B2FE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41414"/>
        </w:rPr>
      </w:pPr>
      <w:r>
        <w:rPr>
          <w:i/>
          <w:color w:val="141414"/>
        </w:rPr>
        <w:t>Новосибирский государственный аграрный университет,</w:t>
      </w:r>
      <w:r w:rsidR="00204577">
        <w:rPr>
          <w:i/>
          <w:color w:val="141414"/>
        </w:rPr>
        <w:t xml:space="preserve"> </w:t>
      </w:r>
      <w:r>
        <w:rPr>
          <w:i/>
          <w:color w:val="141414"/>
        </w:rPr>
        <w:t>Новосибирск, Россия</w:t>
      </w:r>
    </w:p>
    <w:p w:rsidR="001A2570" w:rsidRPr="00204577" w:rsidRDefault="001A2570" w:rsidP="000B2FE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41414"/>
        </w:rPr>
      </w:pPr>
      <w:r>
        <w:rPr>
          <w:i/>
          <w:color w:val="141414"/>
          <w:lang w:val="en-US"/>
        </w:rPr>
        <w:t>E</w:t>
      </w:r>
      <w:r w:rsidRPr="00204577">
        <w:rPr>
          <w:i/>
          <w:color w:val="141414"/>
        </w:rPr>
        <w:t>-</w:t>
      </w:r>
      <w:r>
        <w:rPr>
          <w:i/>
          <w:color w:val="141414"/>
          <w:lang w:val="en-US"/>
        </w:rPr>
        <w:t>mail</w:t>
      </w:r>
      <w:r w:rsidRPr="00204577">
        <w:rPr>
          <w:i/>
          <w:color w:val="141414"/>
        </w:rPr>
        <w:t>:</w:t>
      </w:r>
      <w:r w:rsidRPr="00204577">
        <w:t xml:space="preserve"> </w:t>
      </w:r>
      <w:r w:rsidR="00204577" w:rsidRPr="00204577">
        <w:t>finka31081988@list.ru</w:t>
      </w:r>
    </w:p>
    <w:p w:rsidR="00070981" w:rsidRDefault="00070981" w:rsidP="000B2FE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20AD" w:rsidRDefault="009D20AD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Актуальность данной темы заключается в том, что обесценивание денег и повышение цен приводит к снижению доходов государства, увеличению налогов, росту государственного долга, вызываемого дефицитом государственного бюджета. Это в свою очередь оказывает большое влияние на экономику страны.</w:t>
      </w:r>
    </w:p>
    <w:p w:rsidR="001376FC" w:rsidRDefault="00A76357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Инфляция наносит вред не только государству, но и гражданам страны, в которой они прожи</w:t>
      </w:r>
      <w:r w:rsidR="00362A13">
        <w:rPr>
          <w:color w:val="141414"/>
        </w:rPr>
        <w:t>вают, и</w:t>
      </w:r>
      <w:r>
        <w:rPr>
          <w:color w:val="141414"/>
        </w:rPr>
        <w:t>зменяя стоимость това</w:t>
      </w:r>
      <w:r w:rsidR="002F77AE">
        <w:rPr>
          <w:color w:val="141414"/>
        </w:rPr>
        <w:t>ра, но не повышая его качества.</w:t>
      </w:r>
    </w:p>
    <w:p w:rsidR="00B91194" w:rsidRDefault="00B9119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Развитие и рост национальной экономики во многом зависит от эффектив</w:t>
      </w:r>
      <w:r w:rsidR="000D0AE6">
        <w:rPr>
          <w:color w:val="141414"/>
        </w:rPr>
        <w:t>ности денежно-кредитной политики</w:t>
      </w:r>
      <w:r>
        <w:rPr>
          <w:color w:val="141414"/>
        </w:rPr>
        <w:t>, проводимой Центральным банком. Она является действенным инструментом власти, с помощью которого возможно вывести страну из кризиса, или же наоборот, усугубить происходящие в экономике.</w:t>
      </w:r>
    </w:p>
    <w:p w:rsidR="00B91194" w:rsidRDefault="00B9119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Для определения влияния инфляции на реализацию денежно-кредитной политики и на экономическую ситуацию в целом, следует провести анализ динами</w:t>
      </w:r>
      <w:r w:rsidR="008827FD">
        <w:rPr>
          <w:color w:val="141414"/>
        </w:rPr>
        <w:t>ки темпа инфляции, динамики ВВП.</w:t>
      </w:r>
    </w:p>
    <w:p w:rsidR="00B91194" w:rsidRDefault="00B9119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Проанализируем динамику темпа инфляции в период </w:t>
      </w:r>
      <w:r w:rsidR="000D0AE6">
        <w:rPr>
          <w:color w:val="141414"/>
        </w:rPr>
        <w:t>2018 -</w:t>
      </w:r>
      <w:r>
        <w:rPr>
          <w:color w:val="141414"/>
        </w:rPr>
        <w:t xml:space="preserve"> 2021 г</w:t>
      </w:r>
      <w:r w:rsidR="000D0AE6">
        <w:rPr>
          <w:color w:val="141414"/>
        </w:rPr>
        <w:t>г</w:t>
      </w:r>
      <w:r>
        <w:rPr>
          <w:color w:val="141414"/>
        </w:rPr>
        <w:t>. (рис. 1.)</w:t>
      </w:r>
    </w:p>
    <w:p w:rsidR="00DC2D4E" w:rsidRDefault="00DC2D4E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DC2D4E" w:rsidRDefault="00D55E9D" w:rsidP="007569B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141414"/>
        </w:rPr>
      </w:pPr>
      <w:r>
        <w:rPr>
          <w:noProof/>
        </w:rPr>
        <w:drawing>
          <wp:inline distT="0" distB="0" distL="0" distR="0" wp14:anchorId="3A6DE380" wp14:editId="24BD69FD">
            <wp:extent cx="5231958" cy="2989690"/>
            <wp:effectExtent l="0" t="0" r="26035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1194" w:rsidRDefault="00B9119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0D0AE6" w:rsidRPr="00CB1C8E" w:rsidRDefault="000D0AE6" w:rsidP="00CB1C8E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141414"/>
        </w:rPr>
      </w:pPr>
      <w:r>
        <w:rPr>
          <w:color w:val="141414"/>
        </w:rPr>
        <w:t>Рисунок 1 – Динамика темпов инфляции за</w:t>
      </w:r>
      <w:r w:rsidR="00CB1C8E">
        <w:rPr>
          <w:color w:val="141414"/>
        </w:rPr>
        <w:t xml:space="preserve"> 2018-2021 гг</w:t>
      </w:r>
      <w:r w:rsidR="00CB1C8E" w:rsidRPr="00CB1C8E">
        <w:rPr>
          <w:color w:val="141414"/>
        </w:rPr>
        <w:t>.</w:t>
      </w:r>
    </w:p>
    <w:p w:rsidR="00B91194" w:rsidRDefault="000D0AE6" w:rsidP="00CB1C8E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141414"/>
        </w:rPr>
      </w:pPr>
      <w:r>
        <w:rPr>
          <w:color w:val="141414"/>
        </w:rPr>
        <w:t xml:space="preserve">Источник: </w:t>
      </w:r>
      <w:r w:rsidR="00B91194">
        <w:rPr>
          <w:color w:val="141414"/>
        </w:rPr>
        <w:t>(Составлено по данным сайта Центрального банка РФ)</w:t>
      </w:r>
      <w:r w:rsidR="000B2FEF">
        <w:rPr>
          <w:color w:val="141414"/>
        </w:rPr>
        <w:t>.</w:t>
      </w:r>
    </w:p>
    <w:p w:rsidR="00BA1114" w:rsidRDefault="00B9119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lastRenderedPageBreak/>
        <w:t>С января по се</w:t>
      </w:r>
      <w:r w:rsidR="00DC2D4E">
        <w:rPr>
          <w:color w:val="141414"/>
        </w:rPr>
        <w:t xml:space="preserve">нтябрь 2018 г. инфляция оставалась на низком уровне – 2,2-2,4 %, а </w:t>
      </w:r>
      <w:r>
        <w:rPr>
          <w:color w:val="141414"/>
        </w:rPr>
        <w:t xml:space="preserve"> </w:t>
      </w:r>
      <w:r w:rsidR="00B238FB">
        <w:rPr>
          <w:color w:val="141414"/>
        </w:rPr>
        <w:t xml:space="preserve">в </w:t>
      </w:r>
      <w:r>
        <w:rPr>
          <w:color w:val="141414"/>
        </w:rPr>
        <w:t xml:space="preserve">декабре 2018 г. темп годовой инфляции </w:t>
      </w:r>
      <w:r w:rsidR="00A3747E">
        <w:rPr>
          <w:color w:val="141414"/>
        </w:rPr>
        <w:t>составил 3,7 %</w:t>
      </w:r>
      <w:r w:rsidR="00291E0B">
        <w:rPr>
          <w:color w:val="141414"/>
        </w:rPr>
        <w:t>. Сущ</w:t>
      </w:r>
      <w:r w:rsidR="00DC2D4E">
        <w:rPr>
          <w:color w:val="141414"/>
        </w:rPr>
        <w:t>ественную роль в повышении темпов инфляции сыграли повышение</w:t>
      </w:r>
      <w:r w:rsidR="00291E0B">
        <w:rPr>
          <w:color w:val="141414"/>
        </w:rPr>
        <w:t xml:space="preserve"> уровня ц</w:t>
      </w:r>
      <w:r w:rsidR="00A3747E">
        <w:rPr>
          <w:color w:val="141414"/>
        </w:rPr>
        <w:t>ен на продовольственные товары.</w:t>
      </w:r>
    </w:p>
    <w:p w:rsidR="002C4D70" w:rsidRDefault="008827FD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С начала 2021 г. темп инфляции складывается выше прогноза Б</w:t>
      </w:r>
      <w:r w:rsidR="00A3747E">
        <w:rPr>
          <w:color w:val="141414"/>
        </w:rPr>
        <w:t>анка России и составляет</w:t>
      </w:r>
      <w:r>
        <w:rPr>
          <w:color w:val="141414"/>
        </w:rPr>
        <w:t xml:space="preserve"> 5,2 %. Это связано с повышением спроса на отдельные категории товаров</w:t>
      </w:r>
      <w:r w:rsidR="00A3747E">
        <w:rPr>
          <w:color w:val="141414"/>
        </w:rPr>
        <w:t>.</w:t>
      </w:r>
    </w:p>
    <w:p w:rsidR="00BA1114" w:rsidRDefault="00BA111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Лучшим показателем развития страны и ее благосостояния является ВВП. Чем выше </w:t>
      </w:r>
      <w:r w:rsidR="00362A13">
        <w:rPr>
          <w:color w:val="141414"/>
        </w:rPr>
        <w:t xml:space="preserve">его </w:t>
      </w:r>
      <w:r>
        <w:rPr>
          <w:color w:val="141414"/>
        </w:rPr>
        <w:t xml:space="preserve">уровень, тем выше уровень </w:t>
      </w:r>
      <w:r w:rsidR="00362A13">
        <w:rPr>
          <w:color w:val="141414"/>
        </w:rPr>
        <w:t xml:space="preserve">экономического </w:t>
      </w:r>
      <w:r>
        <w:rPr>
          <w:color w:val="141414"/>
        </w:rPr>
        <w:t>развития страны.</w:t>
      </w:r>
    </w:p>
    <w:p w:rsidR="00BA1114" w:rsidRDefault="00BA111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Проведем анализ динамики ВВП, представляющую собой общую стоимость всех продуктов, которые были произведены в стране за год.</w:t>
      </w:r>
    </w:p>
    <w:p w:rsidR="00BA1114" w:rsidRDefault="00BA111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BA1114" w:rsidRDefault="00483D25" w:rsidP="007569B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141414"/>
        </w:rPr>
      </w:pPr>
      <w:r>
        <w:rPr>
          <w:noProof/>
        </w:rPr>
        <w:drawing>
          <wp:inline distT="0" distB="0" distL="0" distR="0" wp14:anchorId="1197C323" wp14:editId="0625E059">
            <wp:extent cx="5557962" cy="3697356"/>
            <wp:effectExtent l="0" t="0" r="2413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1114" w:rsidRDefault="00BA1114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BA1114" w:rsidRDefault="00BA1114" w:rsidP="000B2FEF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141414"/>
        </w:rPr>
      </w:pPr>
      <w:r>
        <w:rPr>
          <w:color w:val="141414"/>
        </w:rPr>
        <w:t>Рисунок 2 – Динамика ВВП в 2018-2021 гг.</w:t>
      </w:r>
    </w:p>
    <w:p w:rsidR="0003481E" w:rsidRDefault="0003481E" w:rsidP="000B2FEF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141414"/>
        </w:rPr>
      </w:pPr>
    </w:p>
    <w:p w:rsidR="00BA1114" w:rsidRDefault="0003481E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Источник: </w:t>
      </w:r>
      <w:r w:rsidR="00BA1114">
        <w:rPr>
          <w:color w:val="141414"/>
        </w:rPr>
        <w:t>(Составлено по данным сайта Федеральной службы государственной статистики)</w:t>
      </w:r>
    </w:p>
    <w:p w:rsidR="00C36646" w:rsidRDefault="00A3747E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ВВП</w:t>
      </w:r>
      <w:r w:rsidR="00C36646">
        <w:rPr>
          <w:color w:val="141414"/>
        </w:rPr>
        <w:t xml:space="preserve"> России в первом полугодии 2021 г. увеличился в сравнении с первым полугодием прошлого года на 4,8 %. Такой рост связан с развитием государственно-частного партнерства, восстановлением промышленного производства, увеличением потребительского спроса на отечественные товары. Так же это связано с введением ограничительных мер, направленных на борьбу с </w:t>
      </w:r>
      <w:proofErr w:type="spellStart"/>
      <w:r w:rsidR="00C36646">
        <w:rPr>
          <w:color w:val="141414"/>
        </w:rPr>
        <w:t>коронавирусной</w:t>
      </w:r>
      <w:proofErr w:type="spellEnd"/>
      <w:r w:rsidR="00C36646">
        <w:rPr>
          <w:color w:val="141414"/>
        </w:rPr>
        <w:t xml:space="preserve"> инфекцией и падением спроса на энергоресурсы. </w:t>
      </w:r>
    </w:p>
    <w:p w:rsidR="00DA1E4E" w:rsidRDefault="00C36646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Для достижения экономического роста в 2021 г. были приняты меры, способствующие развитию экономики страны. Этими мерами являются:</w:t>
      </w:r>
    </w:p>
    <w:p w:rsidR="00DA1E4E" w:rsidRDefault="00C36646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 </w:t>
      </w:r>
      <w:r w:rsidR="000911D3">
        <w:rPr>
          <w:color w:val="141414"/>
        </w:rPr>
        <w:t>а) запуск инвестиционного цикла и улучшение делового климата</w:t>
      </w:r>
      <w:r w:rsidR="000911D3" w:rsidRPr="000911D3">
        <w:rPr>
          <w:color w:val="141414"/>
        </w:rPr>
        <w:t xml:space="preserve">; </w:t>
      </w:r>
    </w:p>
    <w:p w:rsidR="00DA1E4E" w:rsidRDefault="002F77AE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 </w:t>
      </w:r>
      <w:r w:rsidR="000911D3">
        <w:rPr>
          <w:color w:val="141414"/>
        </w:rPr>
        <w:t>б) создание гарантийного фонда для реструктуризации кредитов компаний</w:t>
      </w:r>
      <w:r w:rsidR="000911D3" w:rsidRPr="000911D3">
        <w:rPr>
          <w:color w:val="141414"/>
        </w:rPr>
        <w:t>;</w:t>
      </w:r>
    </w:p>
    <w:p w:rsidR="00DA1E4E" w:rsidRDefault="000911D3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 в) ежемесячные выплаты для граждан страны с целью поддержки доходов населения</w:t>
      </w:r>
      <w:r w:rsidRPr="000911D3">
        <w:rPr>
          <w:color w:val="141414"/>
        </w:rPr>
        <w:t xml:space="preserve">; </w:t>
      </w:r>
    </w:p>
    <w:p w:rsidR="00DA1E4E" w:rsidRDefault="000911D3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г) расширение программы льготного кредитования под 8,5 %</w:t>
      </w:r>
      <w:r w:rsidRPr="000911D3">
        <w:rPr>
          <w:color w:val="141414"/>
        </w:rPr>
        <w:t>;</w:t>
      </w:r>
      <w:r>
        <w:rPr>
          <w:color w:val="141414"/>
        </w:rPr>
        <w:t xml:space="preserve"> </w:t>
      </w:r>
    </w:p>
    <w:p w:rsidR="002C4D70" w:rsidRPr="00204577" w:rsidRDefault="000911D3" w:rsidP="00001B06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д) государственная поддержка бизнеса.</w:t>
      </w:r>
    </w:p>
    <w:p w:rsidR="000B2FEF" w:rsidRPr="00204577" w:rsidRDefault="000B2FEF" w:rsidP="00001B06">
      <w:pPr>
        <w:pStyle w:val="a3"/>
        <w:shd w:val="clear" w:color="auto" w:fill="FFFFFF"/>
        <w:spacing w:before="0" w:beforeAutospacing="0" w:after="0" w:afterAutospacing="0"/>
        <w:jc w:val="both"/>
        <w:rPr>
          <w:color w:val="141414"/>
        </w:rPr>
      </w:pPr>
    </w:p>
    <w:p w:rsidR="00804266" w:rsidRPr="002640C3" w:rsidRDefault="002640C3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lastRenderedPageBreak/>
        <w:t>Инфляция и безработица</w:t>
      </w:r>
      <w:r w:rsidR="00804266">
        <w:rPr>
          <w:color w:val="141414"/>
        </w:rPr>
        <w:t xml:space="preserve"> тесно взаимосвязаны</w:t>
      </w:r>
      <w:r w:rsidR="00A3747E">
        <w:rPr>
          <w:color w:val="141414"/>
        </w:rPr>
        <w:t>,</w:t>
      </w:r>
      <w:r>
        <w:rPr>
          <w:color w:val="141414"/>
        </w:rPr>
        <w:t xml:space="preserve"> </w:t>
      </w:r>
      <w:r w:rsidR="00A3747E">
        <w:rPr>
          <w:color w:val="141414"/>
        </w:rPr>
        <w:t>поскольку это – факторы</w:t>
      </w:r>
      <w:r>
        <w:rPr>
          <w:color w:val="141414"/>
        </w:rPr>
        <w:t xml:space="preserve"> макроэкономической нестабильности. Если безработица становится ниже </w:t>
      </w:r>
      <w:r w:rsidR="00DA1E4E">
        <w:rPr>
          <w:color w:val="141414"/>
        </w:rPr>
        <w:t>«естественного уровня»</w:t>
      </w:r>
      <w:r>
        <w:rPr>
          <w:color w:val="141414"/>
        </w:rPr>
        <w:t xml:space="preserve">, то происходит быстрый прирост заработной платы и происходит повышение темпов инфляции. Если безработица превышает </w:t>
      </w:r>
      <w:r w:rsidR="00DA1E4E">
        <w:rPr>
          <w:color w:val="141414"/>
        </w:rPr>
        <w:t>«естественный уровень»</w:t>
      </w:r>
      <w:r>
        <w:rPr>
          <w:color w:val="141414"/>
        </w:rPr>
        <w:t>,  темпы прироста заработной платы уменьшаются, наблюдается дефляция.</w:t>
      </w:r>
    </w:p>
    <w:p w:rsidR="00DD473C" w:rsidRDefault="00DD473C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DD473C" w:rsidRDefault="002640C3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 </w:t>
      </w:r>
      <w:r w:rsidR="006062D8">
        <w:rPr>
          <w:noProof/>
        </w:rPr>
        <w:drawing>
          <wp:inline distT="0" distB="0" distL="0" distR="0" wp14:anchorId="6C338E2F" wp14:editId="10E28E8C">
            <wp:extent cx="5828306" cy="3204376"/>
            <wp:effectExtent l="0" t="0" r="2032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40C3" w:rsidRDefault="002640C3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2640C3" w:rsidRDefault="00DD473C" w:rsidP="000B2FEF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color w:val="141414"/>
        </w:rPr>
      </w:pPr>
      <w:r>
        <w:rPr>
          <w:color w:val="141414"/>
        </w:rPr>
        <w:t>Рисунок 3 – Взаимосвязь безработицы и инфляции</w:t>
      </w:r>
    </w:p>
    <w:p w:rsidR="002640C3" w:rsidRDefault="002640C3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DD473C" w:rsidRDefault="002640C3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Исто</w:t>
      </w:r>
      <w:r w:rsidR="00DA1E4E">
        <w:rPr>
          <w:color w:val="141414"/>
        </w:rPr>
        <w:t xml:space="preserve">чник: </w:t>
      </w:r>
      <w:r w:rsidR="00DD473C">
        <w:rPr>
          <w:color w:val="141414"/>
        </w:rPr>
        <w:t>(составлено в соответствии с данными сайта Федеральной службы государственной статистики)</w:t>
      </w:r>
    </w:p>
    <w:p w:rsidR="00DD473C" w:rsidRDefault="00DD473C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На основании проведенного анализа взаимосвязи безработицы и инфляции в России, можно сделать вывод, что для эконом</w:t>
      </w:r>
      <w:r w:rsidR="00362A13">
        <w:rPr>
          <w:color w:val="141414"/>
        </w:rPr>
        <w:t>и</w:t>
      </w:r>
      <w:r>
        <w:rPr>
          <w:color w:val="141414"/>
        </w:rPr>
        <w:t xml:space="preserve">ки в России </w:t>
      </w:r>
      <w:r w:rsidR="00362A13">
        <w:rPr>
          <w:color w:val="141414"/>
        </w:rPr>
        <w:t>свойственно явление стагфляции, другими словами</w:t>
      </w:r>
      <w:r>
        <w:rPr>
          <w:color w:val="141414"/>
        </w:rPr>
        <w:t xml:space="preserve"> рост безработицы сопровождается одновременным ростом темпа инфляции.</w:t>
      </w:r>
    </w:p>
    <w:p w:rsidR="002C4D70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Подводя итоги, можно сказать, что инфляционные процессы в мире многообразны. Несмотря на прогресс моделирования динамики цен, в целом инфляционные процессы не до конца изучены. Инфляция является отражением всех социально-экономических дисбалансов в стране.</w:t>
      </w:r>
    </w:p>
    <w:p w:rsidR="002640C3" w:rsidRPr="00DA1E4E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Анализируя полученные данные</w:t>
      </w:r>
      <w:r w:rsidR="00A846F0">
        <w:rPr>
          <w:color w:val="141414"/>
        </w:rPr>
        <w:t>,</w:t>
      </w:r>
      <w:r w:rsidR="00362A13">
        <w:rPr>
          <w:color w:val="141414"/>
        </w:rPr>
        <w:t xml:space="preserve"> можно сделать вывод что</w:t>
      </w:r>
      <w:r>
        <w:rPr>
          <w:color w:val="141414"/>
        </w:rPr>
        <w:t>, в нашей стране нео</w:t>
      </w:r>
      <w:r w:rsidR="00A846F0">
        <w:rPr>
          <w:color w:val="141414"/>
        </w:rPr>
        <w:t xml:space="preserve">бходимо активно </w:t>
      </w:r>
      <w:r w:rsidR="00362A13">
        <w:rPr>
          <w:color w:val="141414"/>
        </w:rPr>
        <w:t>изуча</w:t>
      </w:r>
      <w:r>
        <w:rPr>
          <w:color w:val="141414"/>
        </w:rPr>
        <w:t>ть специфику воздействия государства на движение цен в разных соц</w:t>
      </w:r>
      <w:r w:rsidR="00A846F0">
        <w:rPr>
          <w:color w:val="141414"/>
        </w:rPr>
        <w:t>иально-экономических условиях. П</w:t>
      </w:r>
      <w:r w:rsidR="00362A13">
        <w:rPr>
          <w:color w:val="141414"/>
        </w:rPr>
        <w:t xml:space="preserve">ри этом </w:t>
      </w:r>
      <w:r>
        <w:rPr>
          <w:color w:val="141414"/>
        </w:rPr>
        <w:t>государственный инструментарий по регулированию инфляционных процессов ограничивается шаблонными инструмен</w:t>
      </w:r>
      <w:r w:rsidR="00362A13">
        <w:rPr>
          <w:color w:val="141414"/>
        </w:rPr>
        <w:t>тами денежно-кредитной политики.</w:t>
      </w:r>
    </w:p>
    <w:p w:rsidR="002F62EB" w:rsidRDefault="00204577" w:rsidP="00204577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141414"/>
        </w:rPr>
      </w:pPr>
      <w:r>
        <w:rPr>
          <w:b/>
          <w:color w:val="141414"/>
        </w:rPr>
        <w:t>Список литературы</w:t>
      </w:r>
      <w:bookmarkStart w:id="0" w:name="_GoBack"/>
      <w:bookmarkEnd w:id="0"/>
    </w:p>
    <w:p w:rsidR="002F62EB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 w:rsidRPr="002F62EB">
        <w:rPr>
          <w:color w:val="141414"/>
        </w:rPr>
        <w:t>1.</w:t>
      </w:r>
      <w:r>
        <w:rPr>
          <w:color w:val="141414"/>
        </w:rPr>
        <w:t xml:space="preserve"> </w:t>
      </w:r>
      <w:r w:rsidR="003C562F">
        <w:rPr>
          <w:color w:val="141414"/>
        </w:rPr>
        <w:t>Алехин Б.И. Динамика инфляции в России и США</w:t>
      </w:r>
      <w:r w:rsidR="003C562F" w:rsidRPr="003C562F">
        <w:rPr>
          <w:color w:val="141414"/>
        </w:rPr>
        <w:t xml:space="preserve"> /</w:t>
      </w:r>
      <w:r w:rsidR="003C562F">
        <w:rPr>
          <w:color w:val="141414"/>
        </w:rPr>
        <w:t xml:space="preserve"> Б.И. Алехин</w:t>
      </w:r>
      <w:r w:rsidR="003C562F" w:rsidRPr="003C562F">
        <w:rPr>
          <w:color w:val="141414"/>
        </w:rPr>
        <w:t xml:space="preserve"> //</w:t>
      </w:r>
      <w:r w:rsidR="003C562F">
        <w:rPr>
          <w:color w:val="141414"/>
        </w:rPr>
        <w:t xml:space="preserve"> Экономический журнал. – 2016. - №44. – С.2-30.</w:t>
      </w:r>
      <w:r w:rsidR="002C386F">
        <w:rPr>
          <w:color w:val="141414"/>
        </w:rPr>
        <w:t xml:space="preserve"> </w:t>
      </w:r>
    </w:p>
    <w:p w:rsidR="003C562F" w:rsidRDefault="003C562F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>2. Великороссов. В.В. Инфляция</w:t>
      </w:r>
      <w:r w:rsidRPr="003C562F">
        <w:rPr>
          <w:color w:val="141414"/>
        </w:rPr>
        <w:t>:</w:t>
      </w:r>
      <w:r>
        <w:rPr>
          <w:color w:val="141414"/>
        </w:rPr>
        <w:t xml:space="preserve"> политэкономическая природа, причины и последствия </w:t>
      </w:r>
      <w:r w:rsidRPr="003C562F">
        <w:rPr>
          <w:color w:val="141414"/>
        </w:rPr>
        <w:t>/</w:t>
      </w:r>
      <w:r>
        <w:rPr>
          <w:color w:val="141414"/>
        </w:rPr>
        <w:t xml:space="preserve"> В.В. Великороссов, Ю.В. </w:t>
      </w:r>
      <w:proofErr w:type="spellStart"/>
      <w:r>
        <w:rPr>
          <w:color w:val="141414"/>
        </w:rPr>
        <w:t>Коречков</w:t>
      </w:r>
      <w:proofErr w:type="spellEnd"/>
      <w:r>
        <w:rPr>
          <w:color w:val="141414"/>
        </w:rPr>
        <w:t xml:space="preserve">, В.А. Неклюдов </w:t>
      </w:r>
      <w:r w:rsidRPr="003C562F">
        <w:rPr>
          <w:color w:val="141414"/>
        </w:rPr>
        <w:t>//</w:t>
      </w:r>
      <w:r>
        <w:rPr>
          <w:color w:val="141414"/>
        </w:rPr>
        <w:t xml:space="preserve"> Теоретическая экономика. – 2021. - № 1(73). – С.11-18.</w:t>
      </w:r>
      <w:r w:rsidR="002C386F">
        <w:rPr>
          <w:color w:val="141414"/>
        </w:rPr>
        <w:t xml:space="preserve"> </w:t>
      </w:r>
    </w:p>
    <w:p w:rsidR="003C562F" w:rsidRDefault="003C562F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3. Ильяшенко. В.В. Проблемы денежно-кредитной и финансовой политики в современной экономике России </w:t>
      </w:r>
      <w:r w:rsidRPr="003C562F">
        <w:rPr>
          <w:color w:val="141414"/>
        </w:rPr>
        <w:t>/</w:t>
      </w:r>
      <w:r>
        <w:rPr>
          <w:color w:val="141414"/>
        </w:rPr>
        <w:t xml:space="preserve"> В. В. Ильяшенко </w:t>
      </w:r>
      <w:r w:rsidRPr="003C562F">
        <w:rPr>
          <w:color w:val="141414"/>
        </w:rPr>
        <w:t>//</w:t>
      </w:r>
      <w:r>
        <w:rPr>
          <w:color w:val="141414"/>
        </w:rPr>
        <w:t xml:space="preserve"> Тенденции развития науки и образования. – 2021. - № 75-2. – С. 42-45.</w:t>
      </w:r>
      <w:r w:rsidR="002C386F">
        <w:rPr>
          <w:color w:val="141414"/>
        </w:rPr>
        <w:t xml:space="preserve"> </w:t>
      </w:r>
    </w:p>
    <w:p w:rsidR="003C562F" w:rsidRDefault="003C562F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4. Кобцева </w:t>
      </w:r>
      <w:r w:rsidR="002C386F">
        <w:rPr>
          <w:color w:val="141414"/>
        </w:rPr>
        <w:t xml:space="preserve">К. М., </w:t>
      </w:r>
      <w:proofErr w:type="spellStart"/>
      <w:r w:rsidR="002C386F">
        <w:rPr>
          <w:color w:val="141414"/>
        </w:rPr>
        <w:t>Булатникова</w:t>
      </w:r>
      <w:proofErr w:type="spellEnd"/>
      <w:r w:rsidR="002C386F">
        <w:rPr>
          <w:color w:val="141414"/>
        </w:rPr>
        <w:t xml:space="preserve"> А. В., Машкина Н.А., Кобцева К. м. Финансовые механизмы регулирования денежно-кредитной системы Российской Федерации </w:t>
      </w:r>
      <w:r w:rsidR="002C386F" w:rsidRPr="002C386F">
        <w:rPr>
          <w:color w:val="141414"/>
        </w:rPr>
        <w:t>//</w:t>
      </w:r>
      <w:r w:rsidR="002C386F">
        <w:rPr>
          <w:color w:val="141414"/>
        </w:rPr>
        <w:t xml:space="preserve"> Инновационная экономика: перспективы развития и совершенствования. – 2019.  – С. 165-172. </w:t>
      </w:r>
    </w:p>
    <w:p w:rsidR="002C386F" w:rsidRDefault="002C386F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5. </w:t>
      </w:r>
      <w:proofErr w:type="spellStart"/>
      <w:r>
        <w:rPr>
          <w:color w:val="141414"/>
        </w:rPr>
        <w:t>СтатБюро</w:t>
      </w:r>
      <w:proofErr w:type="spellEnd"/>
      <w:r>
        <w:rPr>
          <w:color w:val="141414"/>
        </w:rPr>
        <w:t xml:space="preserve"> </w:t>
      </w:r>
      <w:r w:rsidRPr="002C386F">
        <w:rPr>
          <w:color w:val="141414"/>
        </w:rPr>
        <w:t>[</w:t>
      </w:r>
      <w:r>
        <w:rPr>
          <w:color w:val="141414"/>
        </w:rPr>
        <w:t>Электронный ресурс</w:t>
      </w:r>
      <w:r w:rsidRPr="002C386F">
        <w:rPr>
          <w:color w:val="141414"/>
        </w:rPr>
        <w:t>]:</w:t>
      </w:r>
      <w:r>
        <w:rPr>
          <w:color w:val="141414"/>
        </w:rPr>
        <w:t xml:space="preserve"> официальный сайт.</w:t>
      </w:r>
      <w:r>
        <w:rPr>
          <w:color w:val="141414"/>
          <w:lang w:val="en-US"/>
        </w:rPr>
        <w:t>URL</w:t>
      </w:r>
      <w:r w:rsidRPr="002C386F">
        <w:rPr>
          <w:color w:val="141414"/>
        </w:rPr>
        <w:t>:</w:t>
      </w:r>
      <w:r>
        <w:rPr>
          <w:color w:val="141414"/>
        </w:rPr>
        <w:t xml:space="preserve"> </w:t>
      </w:r>
      <w:hyperlink r:id="rId9" w:history="1">
        <w:r w:rsidRPr="003E6BF8">
          <w:rPr>
            <w:rStyle w:val="a6"/>
            <w:lang w:val="en-US"/>
          </w:rPr>
          <w:t>https</w:t>
        </w:r>
        <w:r w:rsidRPr="003E6BF8">
          <w:rPr>
            <w:rStyle w:val="a6"/>
          </w:rPr>
          <w:t>:</w:t>
        </w:r>
        <w:r w:rsidRPr="002C386F">
          <w:rPr>
            <w:rStyle w:val="a6"/>
          </w:rPr>
          <w:t>//</w:t>
        </w:r>
        <w:r w:rsidRPr="003E6BF8">
          <w:rPr>
            <w:rStyle w:val="a6"/>
            <w:lang w:val="en-US"/>
          </w:rPr>
          <w:t>www</w:t>
        </w:r>
        <w:r w:rsidRPr="002C386F">
          <w:rPr>
            <w:rStyle w:val="a6"/>
          </w:rPr>
          <w:t>.</w:t>
        </w:r>
        <w:proofErr w:type="spellStart"/>
        <w:r w:rsidRPr="003E6BF8">
          <w:rPr>
            <w:rStyle w:val="a6"/>
            <w:lang w:val="en-US"/>
          </w:rPr>
          <w:t>statbureau</w:t>
        </w:r>
        <w:proofErr w:type="spellEnd"/>
        <w:r w:rsidRPr="002C386F">
          <w:rPr>
            <w:rStyle w:val="a6"/>
          </w:rPr>
          <w:t>.</w:t>
        </w:r>
        <w:r w:rsidRPr="003E6BF8">
          <w:rPr>
            <w:rStyle w:val="a6"/>
            <w:lang w:val="en-US"/>
          </w:rPr>
          <w:t>org</w:t>
        </w:r>
        <w:r w:rsidRPr="002C386F">
          <w:rPr>
            <w:rStyle w:val="a6"/>
          </w:rPr>
          <w:t>/</w:t>
        </w:r>
        <w:proofErr w:type="spellStart"/>
        <w:r w:rsidRPr="003E6BF8">
          <w:rPr>
            <w:rStyle w:val="a6"/>
            <w:lang w:val="en-US"/>
          </w:rPr>
          <w:t>ru</w:t>
        </w:r>
        <w:proofErr w:type="spellEnd"/>
      </w:hyperlink>
      <w:r w:rsidRPr="002C386F">
        <w:rPr>
          <w:color w:val="141414"/>
        </w:rPr>
        <w:t xml:space="preserve"> </w:t>
      </w:r>
    </w:p>
    <w:p w:rsidR="004E79E2" w:rsidRPr="004E79E2" w:rsidRDefault="004E79E2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6. Федеральная служба государственной статистики </w:t>
      </w:r>
      <w:r w:rsidRPr="004E79E2">
        <w:rPr>
          <w:color w:val="141414"/>
        </w:rPr>
        <w:t>[</w:t>
      </w:r>
      <w:r>
        <w:rPr>
          <w:color w:val="141414"/>
        </w:rPr>
        <w:t>Электронный ресурс</w:t>
      </w:r>
      <w:r w:rsidRPr="004E79E2">
        <w:rPr>
          <w:color w:val="141414"/>
        </w:rPr>
        <w:t>]</w:t>
      </w:r>
      <w:r>
        <w:rPr>
          <w:color w:val="141414"/>
        </w:rPr>
        <w:t xml:space="preserve">: официальный сайт. </w:t>
      </w:r>
      <w:r>
        <w:rPr>
          <w:color w:val="141414"/>
          <w:lang w:val="en-US"/>
        </w:rPr>
        <w:t>URL</w:t>
      </w:r>
      <w:r>
        <w:rPr>
          <w:color w:val="141414"/>
        </w:rPr>
        <w:t>:</w:t>
      </w:r>
      <w:r w:rsidRPr="004E79E2">
        <w:t xml:space="preserve"> </w:t>
      </w:r>
      <w:hyperlink r:id="rId10" w:history="1">
        <w:r w:rsidRPr="008C1F33">
          <w:rPr>
            <w:rStyle w:val="a6"/>
          </w:rPr>
          <w:t>https://</w:t>
        </w:r>
        <w:r w:rsidRPr="008C1F33">
          <w:rPr>
            <w:rStyle w:val="a6"/>
            <w:lang w:val="en-US"/>
          </w:rPr>
          <w:t>www</w:t>
        </w:r>
        <w:r w:rsidRPr="004E79E2">
          <w:rPr>
            <w:rStyle w:val="a6"/>
          </w:rPr>
          <w:t>.</w:t>
        </w:r>
        <w:r w:rsidRPr="008C1F33">
          <w:rPr>
            <w:rStyle w:val="a6"/>
          </w:rPr>
          <w:t>rosstat.gov.ru/</w:t>
        </w:r>
      </w:hyperlink>
      <w:r>
        <w:rPr>
          <w:color w:val="141414"/>
        </w:rPr>
        <w:t xml:space="preserve"> </w:t>
      </w:r>
    </w:p>
    <w:p w:rsidR="002F62EB" w:rsidRPr="004E79E2" w:rsidRDefault="004E79E2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  <w:r>
        <w:rPr>
          <w:color w:val="141414"/>
        </w:rPr>
        <w:t xml:space="preserve">7. Центральный банк РФ </w:t>
      </w:r>
      <w:r w:rsidRPr="004E79E2">
        <w:rPr>
          <w:color w:val="141414"/>
        </w:rPr>
        <w:t>[</w:t>
      </w:r>
      <w:r>
        <w:rPr>
          <w:color w:val="141414"/>
        </w:rPr>
        <w:t>Электронный ресурс</w:t>
      </w:r>
      <w:r w:rsidRPr="004E79E2">
        <w:rPr>
          <w:color w:val="141414"/>
        </w:rPr>
        <w:t>]</w:t>
      </w:r>
      <w:r>
        <w:rPr>
          <w:color w:val="141414"/>
        </w:rPr>
        <w:t>: официальны сайт.</w:t>
      </w:r>
      <w:r>
        <w:rPr>
          <w:color w:val="141414"/>
          <w:lang w:val="en-US"/>
        </w:rPr>
        <w:t>URL</w:t>
      </w:r>
      <w:r w:rsidRPr="004E79E2">
        <w:rPr>
          <w:color w:val="141414"/>
        </w:rPr>
        <w:t>:</w:t>
      </w:r>
      <w:r>
        <w:rPr>
          <w:color w:val="141414"/>
        </w:rPr>
        <w:t xml:space="preserve"> </w:t>
      </w:r>
      <w:hyperlink r:id="rId11" w:history="1">
        <w:r w:rsidRPr="008C1F33">
          <w:rPr>
            <w:rStyle w:val="a6"/>
          </w:rPr>
          <w:t>https://www.cbr.ru/hd_base/infl/</w:t>
        </w:r>
      </w:hyperlink>
      <w:r>
        <w:rPr>
          <w:color w:val="141414"/>
        </w:rPr>
        <w:t xml:space="preserve"> </w:t>
      </w:r>
    </w:p>
    <w:p w:rsidR="002F62EB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2F62EB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2F62EB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2F62EB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2F62EB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2F62EB" w:rsidRDefault="002F62EB" w:rsidP="000B2FEF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141414"/>
        </w:rPr>
      </w:pPr>
    </w:p>
    <w:p w:rsidR="00954CAE" w:rsidRPr="00070981" w:rsidRDefault="00B96865" w:rsidP="000B2FEF">
      <w:pPr>
        <w:spacing w:line="240" w:lineRule="auto"/>
        <w:ind w:firstLine="397"/>
        <w:jc w:val="both"/>
      </w:pPr>
      <w:r w:rsidRPr="00B968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4037" wp14:editId="2FE43BB9">
                <wp:simplePos x="0" y="0"/>
                <wp:positionH relativeFrom="column">
                  <wp:posOffset>2787650</wp:posOffset>
                </wp:positionH>
                <wp:positionV relativeFrom="paragraph">
                  <wp:posOffset>329565</wp:posOffset>
                </wp:positionV>
                <wp:extent cx="1049020" cy="285750"/>
                <wp:effectExtent l="0" t="0" r="0" b="0"/>
                <wp:wrapNone/>
                <wp:docPr id="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8434">
                          <a:off x="0" y="0"/>
                          <a:ext cx="104902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6865" w:rsidRDefault="00B96865" w:rsidP="00B96865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</wp:anchor>
            </w:drawing>
          </mc:Choice>
          <mc:Fallback>
            <w:pict>
              <v:shapetype w14:anchorId="1498403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9.5pt;margin-top:25.95pt;width:82.6pt;height:22.5pt;rotation:-243746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" filled="f" stroked="f">
                <v:textbox>
                  <w:txbxContent>
                    <w:p w:rsidR="00B96865" w:rsidRDefault="00B96865" w:rsidP="00B96865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54CAE" w:rsidRPr="00070981" w:rsidSect="000B2FE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1615"/>
    <w:multiLevelType w:val="hybridMultilevel"/>
    <w:tmpl w:val="BA061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4CD"/>
    <w:rsid w:val="00001B06"/>
    <w:rsid w:val="0003481E"/>
    <w:rsid w:val="00052A5D"/>
    <w:rsid w:val="000701DA"/>
    <w:rsid w:val="00070981"/>
    <w:rsid w:val="000911D3"/>
    <w:rsid w:val="000B2FEF"/>
    <w:rsid w:val="000D0AE6"/>
    <w:rsid w:val="001376FC"/>
    <w:rsid w:val="00192C0C"/>
    <w:rsid w:val="001A2570"/>
    <w:rsid w:val="00204577"/>
    <w:rsid w:val="002521CC"/>
    <w:rsid w:val="002640C3"/>
    <w:rsid w:val="002826F3"/>
    <w:rsid w:val="00291E0B"/>
    <w:rsid w:val="00293E2D"/>
    <w:rsid w:val="002C386F"/>
    <w:rsid w:val="002C4D70"/>
    <w:rsid w:val="002F62EB"/>
    <w:rsid w:val="002F77AE"/>
    <w:rsid w:val="00362A13"/>
    <w:rsid w:val="003C3C68"/>
    <w:rsid w:val="003C562F"/>
    <w:rsid w:val="003F719E"/>
    <w:rsid w:val="00443154"/>
    <w:rsid w:val="00464977"/>
    <w:rsid w:val="00483D25"/>
    <w:rsid w:val="004E79E2"/>
    <w:rsid w:val="005771A5"/>
    <w:rsid w:val="005B2EA5"/>
    <w:rsid w:val="005F437B"/>
    <w:rsid w:val="005F532E"/>
    <w:rsid w:val="006062D8"/>
    <w:rsid w:val="006141AF"/>
    <w:rsid w:val="00685D86"/>
    <w:rsid w:val="006E6956"/>
    <w:rsid w:val="00744499"/>
    <w:rsid w:val="007569BB"/>
    <w:rsid w:val="00804266"/>
    <w:rsid w:val="008827FD"/>
    <w:rsid w:val="008B6D5C"/>
    <w:rsid w:val="008F6F34"/>
    <w:rsid w:val="00914A05"/>
    <w:rsid w:val="00954CAE"/>
    <w:rsid w:val="009B6A7D"/>
    <w:rsid w:val="009D20AD"/>
    <w:rsid w:val="009D27FF"/>
    <w:rsid w:val="00A3747E"/>
    <w:rsid w:val="00A76357"/>
    <w:rsid w:val="00A846F0"/>
    <w:rsid w:val="00B238FB"/>
    <w:rsid w:val="00B91194"/>
    <w:rsid w:val="00B96865"/>
    <w:rsid w:val="00BA1114"/>
    <w:rsid w:val="00BF0D77"/>
    <w:rsid w:val="00C36646"/>
    <w:rsid w:val="00CB1C8E"/>
    <w:rsid w:val="00CC7177"/>
    <w:rsid w:val="00D42E1C"/>
    <w:rsid w:val="00D55E9D"/>
    <w:rsid w:val="00DA1E4E"/>
    <w:rsid w:val="00DC2D4E"/>
    <w:rsid w:val="00DD473C"/>
    <w:rsid w:val="00EF43DA"/>
    <w:rsid w:val="00F22347"/>
    <w:rsid w:val="00F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001"/>
  <w15:docId w15:val="{E3561C6E-9C7B-41EA-85AD-2A62422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981"/>
  </w:style>
  <w:style w:type="paragraph" w:styleId="1">
    <w:name w:val="heading 1"/>
    <w:basedOn w:val="a"/>
    <w:next w:val="a"/>
    <w:link w:val="10"/>
    <w:uiPriority w:val="9"/>
    <w:qFormat/>
    <w:rsid w:val="00B96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38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6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B1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www.cbr.ru/hd_base/inf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sta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bureau.org/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052930883639543E-2"/>
          <c:y val="4.8025871766029245E-2"/>
          <c:w val="0.86782589676290467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1.1574074074074073E-2"/>
                  <c:y val="4.755996175230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B3-4540-920F-F22329ED5DB6}"/>
                </c:ext>
              </c:extLst>
            </c:dLbl>
            <c:dLbl>
              <c:idx val="1"/>
              <c:layout>
                <c:manualLayout>
                  <c:x val="6.9444444444444657E-3"/>
                  <c:y val="-1.1889990438075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B3-4540-920F-F22329ED5DB6}"/>
                </c:ext>
              </c:extLst>
            </c:dLbl>
            <c:dLbl>
              <c:idx val="2"/>
              <c:layout>
                <c:manualLayout>
                  <c:x val="-2.3148148148148147E-3"/>
                  <c:y val="3.170664116820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B3-4540-920F-F22329ED5DB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B3-4540-920F-F22329ED5DB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B3-4540-920F-F22329ED5DB6}"/>
                </c:ext>
              </c:extLst>
            </c:dLbl>
            <c:dLbl>
              <c:idx val="5"/>
              <c:layout>
                <c:manualLayout>
                  <c:x val="-3.2407407407407406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B3-4540-920F-F22329ED5DB6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B3-4540-920F-F22329ED5DB6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B3-4540-920F-F22329ED5DB6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B3-4540-920F-F22329ED5DB6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B3-4540-920F-F22329ED5DB6}"/>
                </c:ext>
              </c:extLst>
            </c:dLbl>
            <c:dLbl>
              <c:idx val="10"/>
              <c:layout>
                <c:manualLayout>
                  <c:x val="-2.5462962962962962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6B3-4540-920F-F22329ED5DB6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B3-4540-920F-F22329ED5DB6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B3-4540-920F-F22329ED5DB6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B3-4540-920F-F22329ED5DB6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B3-4540-920F-F22329ED5DB6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B3-4540-920F-F22329ED5DB6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6B3-4540-920F-F22329ED5DB6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B3-4540-920F-F22329ED5DB6}"/>
                </c:ext>
              </c:extLst>
            </c:dLbl>
            <c:dLbl>
              <c:idx val="18"/>
              <c:layout>
                <c:manualLayout>
                  <c:x val="-5.555555555555555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6B3-4540-920F-F22329ED5DB6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6B3-4540-920F-F22329ED5DB6}"/>
                </c:ext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6B3-4540-920F-F22329ED5DB6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6B3-4540-920F-F22329ED5DB6}"/>
                </c:ext>
              </c:extLst>
            </c:dLbl>
            <c:dLbl>
              <c:idx val="22"/>
              <c:layout>
                <c:manualLayout>
                  <c:x val="-8.101851851851851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6B3-4540-920F-F22329ED5DB6}"/>
                </c:ext>
              </c:extLst>
            </c:dLbl>
            <c:dLbl>
              <c:idx val="23"/>
              <c:layout>
                <c:manualLayout>
                  <c:x val="-3.0092592592592591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6B3-4540-920F-F22329ED5D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Лист1!$A$2:$A$25</c:f>
              <c:strCache>
                <c:ptCount val="24"/>
                <c:pt idx="4">
                  <c:v>2018 г.</c:v>
                </c:pt>
                <c:pt idx="10">
                  <c:v>2019 г.</c:v>
                </c:pt>
                <c:pt idx="17">
                  <c:v>2020 г.</c:v>
                </c:pt>
                <c:pt idx="23">
                  <c:v>2021 г.</c:v>
                </c:pt>
              </c:strCache>
            </c:strRef>
          </c:cat>
          <c:val>
            <c:numRef>
              <c:f>Лист1!$B$2:$B$25</c:f>
              <c:numCache>
                <c:formatCode>0.00%</c:formatCode>
                <c:ptCount val="24"/>
                <c:pt idx="0">
                  <c:v>2.1999999999999999E-2</c:v>
                </c:pt>
                <c:pt idx="1">
                  <c:v>2.4E-2</c:v>
                </c:pt>
                <c:pt idx="2">
                  <c:v>3.6999999999999998E-2</c:v>
                </c:pt>
                <c:pt idx="3">
                  <c:v>3.9E-2</c:v>
                </c:pt>
                <c:pt idx="4">
                  <c:v>4.9000000000000002E-2</c:v>
                </c:pt>
                <c:pt idx="5" formatCode="0%">
                  <c:v>0.05</c:v>
                </c:pt>
                <c:pt idx="6">
                  <c:v>4.9000000000000002E-2</c:v>
                </c:pt>
                <c:pt idx="7">
                  <c:v>4.8000000000000001E-2</c:v>
                </c:pt>
                <c:pt idx="8">
                  <c:v>4.2999999999999997E-2</c:v>
                </c:pt>
                <c:pt idx="9" formatCode="0%">
                  <c:v>0.04</c:v>
                </c:pt>
                <c:pt idx="10">
                  <c:v>3.5000000000000003E-2</c:v>
                </c:pt>
                <c:pt idx="11">
                  <c:v>2.8000000000000001E-2</c:v>
                </c:pt>
                <c:pt idx="12">
                  <c:v>2.4E-2</c:v>
                </c:pt>
                <c:pt idx="13">
                  <c:v>2.5999999999999999E-2</c:v>
                </c:pt>
                <c:pt idx="14">
                  <c:v>3.1E-2</c:v>
                </c:pt>
                <c:pt idx="15">
                  <c:v>3.2000000000000001E-2</c:v>
                </c:pt>
                <c:pt idx="16">
                  <c:v>3.5000000000000003E-2</c:v>
                </c:pt>
                <c:pt idx="17" formatCode="0%">
                  <c:v>0.05</c:v>
                </c:pt>
                <c:pt idx="18">
                  <c:v>5.1999999999999998E-2</c:v>
                </c:pt>
                <c:pt idx="19">
                  <c:v>5.8000000000000003E-2</c:v>
                </c:pt>
                <c:pt idx="20">
                  <c:v>5.2999999999999999E-2</c:v>
                </c:pt>
                <c:pt idx="21" formatCode="0%">
                  <c:v>0.06</c:v>
                </c:pt>
                <c:pt idx="22">
                  <c:v>6.5000000000000002E-2</c:v>
                </c:pt>
                <c:pt idx="23">
                  <c:v>6.7400000000000002E-2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E6B3-4540-920F-F22329ED5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4">
                  <c:v>2018 г.</c:v>
                </c:pt>
                <c:pt idx="10">
                  <c:v>2019 г.</c:v>
                </c:pt>
                <c:pt idx="17">
                  <c:v>2020 г.</c:v>
                </c:pt>
                <c:pt idx="23">
                  <c:v>2021 г.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6B3-4540-920F-F22329ED5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374336"/>
        <c:axId val="252446208"/>
      </c:lineChart>
      <c:catAx>
        <c:axId val="22337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446208"/>
        <c:crosses val="autoZero"/>
        <c:auto val="1"/>
        <c:lblAlgn val="ctr"/>
        <c:lblOffset val="100"/>
        <c:noMultiLvlLbl val="0"/>
      </c:catAx>
      <c:valAx>
        <c:axId val="2524462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337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8673082531354E-2"/>
          <c:y val="2.4216347956505437E-2"/>
          <c:w val="0.87933836395450571"/>
          <c:h val="0.8963124177687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22500</c:v>
                </c:pt>
                <c:pt idx="1">
                  <c:v>24500</c:v>
                </c:pt>
                <c:pt idx="2">
                  <c:v>24650</c:v>
                </c:pt>
                <c:pt idx="3">
                  <c:v>27000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CA-43BE-AEBE-816DBAE58D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24900</c:v>
                </c:pt>
                <c:pt idx="1">
                  <c:v>26500</c:v>
                </c:pt>
                <c:pt idx="2">
                  <c:v>23900</c:v>
                </c:pt>
                <c:pt idx="3">
                  <c:v>31000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CA-43BE-AEBE-816DBAE58D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27000</c:v>
                </c:pt>
                <c:pt idx="1">
                  <c:v>28000</c:v>
                </c:pt>
                <c:pt idx="2">
                  <c:v>27200</c:v>
                </c:pt>
                <c:pt idx="3">
                  <c:v>32000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CA-43BE-AEBE-816DBAE58D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29000</c:v>
                </c:pt>
                <c:pt idx="1">
                  <c:v>29900</c:v>
                </c:pt>
                <c:pt idx="2">
                  <c:v>31000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CA-43BE-AEBE-816DBAE58D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879616"/>
        <c:axId val="252965248"/>
      </c:barChart>
      <c:catAx>
        <c:axId val="25287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965248"/>
        <c:crosses val="autoZero"/>
        <c:auto val="1"/>
        <c:lblAlgn val="ctr"/>
        <c:lblOffset val="100"/>
        <c:noMultiLvlLbl val="0"/>
      </c:catAx>
      <c:valAx>
        <c:axId val="252965248"/>
        <c:scaling>
          <c:orientation val="minMax"/>
          <c:max val="35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879616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безработицы, в %</c:v>
                </c:pt>
              </c:strCache>
            </c:strRef>
          </c:tx>
          <c:marker>
            <c:symbol val="square"/>
            <c:size val="8"/>
          </c:marker>
          <c:dLbls>
            <c:dLbl>
              <c:idx val="0"/>
              <c:layout>
                <c:manualLayout>
                  <c:x val="6.9444444444444441E-3"/>
                  <c:y val="-2.37799808761518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8F-4563-B88C-93DCC6F27B0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8F-4563-B88C-93DCC6F27B0F}"/>
                </c:ext>
              </c:extLst>
            </c:dLbl>
            <c:dLbl>
              <c:idx val="2"/>
              <c:layout>
                <c:manualLayout>
                  <c:x val="-2.3148148148148147E-3"/>
                  <c:y val="-3.1706641168202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8F-4563-B88C-93DCC6F27B0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8F-4563-B88C-93DCC6F27B0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4.8000000000000001E-2</c:v>
                </c:pt>
                <c:pt idx="1">
                  <c:v>4.5999999999999999E-2</c:v>
                </c:pt>
                <c:pt idx="2">
                  <c:v>5.8999999999999997E-2</c:v>
                </c:pt>
                <c:pt idx="3">
                  <c:v>4.5999999999999999E-2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38F-4563-B88C-93DCC6F27B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инфляции, в %</c:v>
                </c:pt>
              </c:strCache>
            </c:strRef>
          </c:tx>
          <c:marker>
            <c:symbol val="diamond"/>
            <c:size val="8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4.2700000000000002E-2</c:v>
                </c:pt>
                <c:pt idx="1">
                  <c:v>3.0499999999999999E-2</c:v>
                </c:pt>
                <c:pt idx="2">
                  <c:v>4.9099999999999998E-2</c:v>
                </c:pt>
                <c:pt idx="3">
                  <c:v>6.7400000000000002E-2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38F-4563-B88C-93DCC6F27B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38F-4563-B88C-93DCC6F27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467520"/>
        <c:axId val="197469312"/>
      </c:lineChart>
      <c:catAx>
        <c:axId val="19746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469312"/>
        <c:crosses val="autoZero"/>
        <c:auto val="1"/>
        <c:lblAlgn val="ctr"/>
        <c:lblOffset val="100"/>
        <c:noMultiLvlLbl val="0"/>
      </c:catAx>
      <c:valAx>
        <c:axId val="1974693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9746752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0.09565</cdr:x>
      <cdr:y>0.12671</cdr:y>
    </cdr:from>
    <cdr:to>
      <cdr:x>0.28695</cdr:x>
      <cdr:y>0.21615</cdr:y>
    </cdr:to>
    <cdr:sp macro="" textlink="">
      <cdr:nvSpPr>
        <cdr:cNvPr id="2" name="Поле 1"/>
        <cdr:cNvSpPr txBox="1"/>
      </cdr:nvSpPr>
      <cdr:spPr>
        <a:xfrm xmlns:a="http://schemas.openxmlformats.org/drawingml/2006/main" rot="19791138">
          <a:off x="524799" y="405509"/>
          <a:ext cx="1049548" cy="2862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104,6 трлн, руб.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0.31014</cdr:x>
      <cdr:y>0.10186</cdr:y>
    </cdr:from>
    <cdr:to>
      <cdr:x>0.50435</cdr:x>
      <cdr:y>0.19379</cdr:y>
    </cdr:to>
    <cdr:sp macro="" textlink="">
      <cdr:nvSpPr>
        <cdr:cNvPr id="3" name="Поле 2"/>
        <cdr:cNvSpPr txBox="1"/>
      </cdr:nvSpPr>
      <cdr:spPr>
        <a:xfrm xmlns:a="http://schemas.openxmlformats.org/drawingml/2006/main" rot="19676246">
          <a:off x="1701578" y="326004"/>
          <a:ext cx="1065475" cy="294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>
              <a:effectLst/>
              <a:latin typeface="+mn-lt"/>
              <a:ea typeface="+mn-ea"/>
              <a:cs typeface="+mn-cs"/>
            </a:rPr>
            <a:t>109,1 трлн, руб.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0.57681</cdr:x>
      <cdr:y>0.22112</cdr:y>
    </cdr:from>
    <cdr:to>
      <cdr:x>0.74348</cdr:x>
      <cdr:y>0.50683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164620" y="70766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0.52609</cdr:x>
      <cdr:y>0.10435</cdr:y>
    </cdr:from>
    <cdr:to>
      <cdr:x>0.72464</cdr:x>
      <cdr:y>0.18385</cdr:y>
    </cdr:to>
    <cdr:sp macro="" textlink="">
      <cdr:nvSpPr>
        <cdr:cNvPr id="5" name="Поле 4"/>
        <cdr:cNvSpPr txBox="1"/>
      </cdr:nvSpPr>
      <cdr:spPr>
        <a:xfrm xmlns:a="http://schemas.openxmlformats.org/drawingml/2006/main" rot="19463511">
          <a:off x="2886323" y="333955"/>
          <a:ext cx="1089329" cy="2544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106,3 трлн, руб</a:t>
          </a:r>
          <a:endParaRPr lang="ru-RU" sz="1100"/>
        </a:p>
      </cdr:txBody>
    </cdr:sp>
  </cdr:relSizeAnchor>
  <cdr:relSizeAnchor xmlns:cdr="http://schemas.openxmlformats.org/drawingml/2006/chartDrawing">
    <cdr:from>
      <cdr:x>0.7913</cdr:x>
      <cdr:y>0.18137</cdr:y>
    </cdr:from>
    <cdr:to>
      <cdr:x>0.95797</cdr:x>
      <cdr:y>0.46708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4341413" y="58044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0.74384</cdr:x>
      <cdr:y>0.1441</cdr:y>
    </cdr:from>
    <cdr:to>
      <cdr:x>0.78116</cdr:x>
      <cdr:y>0.20621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081008" y="461175"/>
          <a:ext cx="204745" cy="198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0.73488</cdr:x>
      <cdr:y>0.02461</cdr:y>
    </cdr:from>
    <cdr:to>
      <cdr:x>0.94213</cdr:x>
      <cdr:y>0.11654</cdr:y>
    </cdr:to>
    <cdr:sp macro="" textlink="">
      <cdr:nvSpPr>
        <cdr:cNvPr id="8" name="Поле 7"/>
        <cdr:cNvSpPr txBox="1"/>
      </cdr:nvSpPr>
      <cdr:spPr>
        <a:xfrm xmlns:a="http://schemas.openxmlformats.org/drawingml/2006/main" rot="21423912">
          <a:off x="4370658" y="87465"/>
          <a:ext cx="1232579" cy="326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130,8 трлн, руб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BFF6-C7F0-47AF-8582-EECC768C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Дмитрий Михайлович</cp:lastModifiedBy>
  <cp:revision>2</cp:revision>
  <dcterms:created xsi:type="dcterms:W3CDTF">2023-04-14T15:11:00Z</dcterms:created>
  <dcterms:modified xsi:type="dcterms:W3CDTF">2023-04-14T15:11:00Z</dcterms:modified>
</cp:coreProperties>
</file>