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F25" w14:textId="24A4897C" w:rsidR="00EE6149" w:rsidRPr="00EE6149" w:rsidRDefault="00EE6149" w:rsidP="008F7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843436"/>
      <w:r w:rsidRPr="00EE6149">
        <w:rPr>
          <w:rFonts w:ascii="Times New Roman" w:hAnsi="Times New Roman" w:cs="Times New Roman"/>
          <w:b/>
          <w:bCs/>
          <w:sz w:val="24"/>
          <w:szCs w:val="24"/>
        </w:rPr>
        <w:t>Развитие государственно- частного партнерства в социальной сфере Новосибирской области</w:t>
      </w:r>
      <w:r w:rsidR="00431E98">
        <w:rPr>
          <w:rFonts w:ascii="Times New Roman" w:hAnsi="Times New Roman" w:cs="Times New Roman"/>
          <w:b/>
          <w:bCs/>
          <w:sz w:val="24"/>
          <w:szCs w:val="24"/>
        </w:rPr>
        <w:t xml:space="preserve"> (на примере</w:t>
      </w:r>
      <w:r w:rsidRPr="00EE6149">
        <w:rPr>
          <w:rFonts w:ascii="Times New Roman" w:hAnsi="Times New Roman" w:cs="Times New Roman"/>
          <w:b/>
          <w:bCs/>
          <w:sz w:val="24"/>
          <w:szCs w:val="24"/>
        </w:rPr>
        <w:t xml:space="preserve"> отрасли здравоохранения</w:t>
      </w:r>
      <w:r w:rsidR="00431E9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F9E114" w14:textId="3F17B40D" w:rsidR="00EE6149" w:rsidRPr="00EE6149" w:rsidRDefault="00EE6149" w:rsidP="008F781B">
      <w:pPr>
        <w:tabs>
          <w:tab w:val="left" w:pos="709"/>
          <w:tab w:val="left" w:pos="2835"/>
        </w:tabs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149">
        <w:rPr>
          <w:rFonts w:ascii="Times New Roman" w:hAnsi="Times New Roman" w:cs="Times New Roman"/>
          <w:b/>
          <w:bCs/>
          <w:sz w:val="24"/>
          <w:szCs w:val="24"/>
        </w:rPr>
        <w:t>Весёлкина К.Д.</w:t>
      </w:r>
    </w:p>
    <w:p w14:paraId="7847CA9A" w14:textId="03BD1CCD" w:rsidR="00EE6149" w:rsidRPr="00EE6149" w:rsidRDefault="00EE6149" w:rsidP="008F781B">
      <w:pPr>
        <w:tabs>
          <w:tab w:val="left" w:pos="709"/>
          <w:tab w:val="left" w:pos="2835"/>
        </w:tabs>
        <w:spacing w:after="0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149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506E81B9" w14:textId="063EF7D3" w:rsidR="002A4168" w:rsidRDefault="00EE6149" w:rsidP="008F781B">
      <w:pPr>
        <w:tabs>
          <w:tab w:val="left" w:pos="709"/>
          <w:tab w:val="left" w:pos="2835"/>
        </w:tabs>
        <w:spacing w:after="0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Сибирский институт управления 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2B7ABC" w:rsidRPr="002A4168">
        <w:rPr>
          <w:rFonts w:ascii="Times New Roman" w:hAnsi="Times New Roman" w:cs="Times New Roman"/>
          <w:i/>
          <w:iCs/>
          <w:sz w:val="24"/>
          <w:szCs w:val="24"/>
        </w:rPr>
        <w:t>филиал федерального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государственно</w:t>
      </w:r>
      <w:r w:rsidR="002A4168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 бюджетно</w:t>
      </w:r>
      <w:r w:rsidR="002A4168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</w:t>
      </w:r>
      <w:r w:rsidR="002A4168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 учреждени</w:t>
      </w:r>
      <w:r w:rsidR="002A416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 высшего образования «Российская академия народного хозяйства и государственной службы при </w:t>
      </w:r>
      <w:r w:rsidR="00C2249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резиденте </w:t>
      </w:r>
      <w:r w:rsidR="009763A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 xml:space="preserve">оссийской </w:t>
      </w:r>
      <w:r w:rsidR="009763AB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2A4168" w:rsidRPr="002A4168">
        <w:rPr>
          <w:rFonts w:ascii="Times New Roman" w:hAnsi="Times New Roman" w:cs="Times New Roman"/>
          <w:i/>
          <w:iCs/>
          <w:sz w:val="24"/>
          <w:szCs w:val="24"/>
        </w:rPr>
        <w:t>едерации», факультет государственного и муниципального управления, Новосибирск, Россия</w:t>
      </w:r>
    </w:p>
    <w:p w14:paraId="4C277481" w14:textId="46368B2D" w:rsidR="007A6D57" w:rsidRDefault="002A4168" w:rsidP="0039754E">
      <w:pPr>
        <w:tabs>
          <w:tab w:val="left" w:pos="709"/>
          <w:tab w:val="left" w:pos="2835"/>
        </w:tabs>
        <w:spacing w:after="0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A13DDD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A13DD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7" w:history="1">
        <w:r w:rsidR="008F781B" w:rsidRPr="008C3C12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kvesyolkina</w:t>
        </w:r>
        <w:r w:rsidR="008F781B" w:rsidRPr="008C3C12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8F781B" w:rsidRPr="008C3C12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="008F781B" w:rsidRPr="008C3C12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8F781B" w:rsidRPr="008C3C12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bookmarkEnd w:id="0"/>
    </w:p>
    <w:p w14:paraId="7D9BD941" w14:textId="77777777" w:rsidR="0039754E" w:rsidRPr="0039754E" w:rsidRDefault="0039754E" w:rsidP="0039754E">
      <w:pPr>
        <w:tabs>
          <w:tab w:val="left" w:pos="709"/>
          <w:tab w:val="left" w:pos="2835"/>
        </w:tabs>
        <w:spacing w:after="0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7243E02" w14:textId="734CD84F" w:rsidR="007A6D57" w:rsidRPr="007A6D57" w:rsidRDefault="007A6D57" w:rsidP="00C915DB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6D57">
        <w:rPr>
          <w:rFonts w:ascii="Times New Roman" w:hAnsi="Times New Roman" w:cs="Times New Roman"/>
          <w:sz w:val="24"/>
          <w:szCs w:val="24"/>
        </w:rPr>
        <w:t>Социальный сектор в Российской Федерации, является непосредственным объектом государственного управления. И региональным и муниципальным органам власти в рамках ограниченного бюджета сложно реш</w:t>
      </w:r>
      <w:r w:rsidR="004D0C46">
        <w:rPr>
          <w:rFonts w:ascii="Times New Roman" w:hAnsi="Times New Roman" w:cs="Times New Roman"/>
          <w:sz w:val="24"/>
          <w:szCs w:val="24"/>
        </w:rPr>
        <w:t>а</w:t>
      </w:r>
      <w:r w:rsidRPr="007A6D57">
        <w:rPr>
          <w:rFonts w:ascii="Times New Roman" w:hAnsi="Times New Roman" w:cs="Times New Roman"/>
          <w:sz w:val="24"/>
          <w:szCs w:val="24"/>
        </w:rPr>
        <w:t xml:space="preserve">ть стоящие перед ними острые задачи, и для этого необходима поддержка частной стороны. Это позволит быстрее решить вопрос финансирования проектов в отрасли здравоохранения </w:t>
      </w:r>
      <w:r w:rsidR="00C915DB">
        <w:rPr>
          <w:rFonts w:ascii="Times New Roman" w:hAnsi="Times New Roman" w:cs="Times New Roman"/>
          <w:sz w:val="24"/>
          <w:szCs w:val="24"/>
        </w:rPr>
        <w:t xml:space="preserve">и </w:t>
      </w:r>
      <w:r w:rsidR="00690DF4">
        <w:rPr>
          <w:rFonts w:ascii="Times New Roman" w:hAnsi="Times New Roman" w:cs="Times New Roman"/>
          <w:sz w:val="24"/>
          <w:szCs w:val="24"/>
        </w:rPr>
        <w:t xml:space="preserve">в </w:t>
      </w:r>
      <w:r w:rsidR="00C915DB">
        <w:rPr>
          <w:rFonts w:ascii="Times New Roman" w:hAnsi="Times New Roman" w:cs="Times New Roman"/>
          <w:sz w:val="24"/>
          <w:szCs w:val="24"/>
        </w:rPr>
        <w:t>других отрасл</w:t>
      </w:r>
      <w:r w:rsidR="00690DF4">
        <w:rPr>
          <w:rFonts w:ascii="Times New Roman" w:hAnsi="Times New Roman" w:cs="Times New Roman"/>
          <w:sz w:val="24"/>
          <w:szCs w:val="24"/>
        </w:rPr>
        <w:t>ях</w:t>
      </w:r>
      <w:r w:rsidR="00C915DB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="00690DF4">
        <w:rPr>
          <w:rFonts w:ascii="Times New Roman" w:hAnsi="Times New Roman" w:cs="Times New Roman"/>
          <w:sz w:val="24"/>
          <w:szCs w:val="24"/>
        </w:rPr>
        <w:t>, что</w:t>
      </w:r>
      <w:r w:rsidRPr="007A6D57">
        <w:rPr>
          <w:rFonts w:ascii="Times New Roman" w:hAnsi="Times New Roman" w:cs="Times New Roman"/>
          <w:sz w:val="24"/>
          <w:szCs w:val="24"/>
        </w:rPr>
        <w:t xml:space="preserve"> в перспективе улучшит качество жизни населения.</w:t>
      </w:r>
    </w:p>
    <w:p w14:paraId="33FCF88E" w14:textId="6A5506A3" w:rsidR="007A6D57" w:rsidRDefault="007A6D57" w:rsidP="00F9718B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6D57">
        <w:rPr>
          <w:rFonts w:ascii="Times New Roman" w:hAnsi="Times New Roman" w:cs="Times New Roman"/>
          <w:sz w:val="24"/>
          <w:szCs w:val="24"/>
        </w:rPr>
        <w:t xml:space="preserve">Благодаря механизму ГЧП частные компании принимают на себя часть финансовых затрат, и тем самым уменьшают затраты на проект со стороны государства, помогают сохранить бюджетные средства и также равномерно распределить риски между сторонами. </w:t>
      </w:r>
    </w:p>
    <w:p w14:paraId="44832A5F" w14:textId="752CB003" w:rsidR="00642669" w:rsidRDefault="00A13DDD" w:rsidP="009A7452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DDD">
        <w:rPr>
          <w:rFonts w:ascii="Times New Roman" w:hAnsi="Times New Roman" w:cs="Times New Roman"/>
          <w:sz w:val="24"/>
          <w:szCs w:val="24"/>
        </w:rPr>
        <w:t xml:space="preserve">Государственно-частное партнерство, </w:t>
      </w:r>
      <w:proofErr w:type="spellStart"/>
      <w:r w:rsidRPr="00A13DD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A13DDD">
        <w:rPr>
          <w:rFonts w:ascii="Times New Roman" w:hAnsi="Times New Roman" w:cs="Times New Roman"/>
          <w:sz w:val="24"/>
          <w:szCs w:val="24"/>
        </w:rPr>
        <w:t xml:space="preserve">-частное партнерство-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</w:t>
      </w:r>
      <w:proofErr w:type="spellStart"/>
      <w:r w:rsidRPr="00A13DD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A13DDD">
        <w:rPr>
          <w:rFonts w:ascii="Times New Roman" w:hAnsi="Times New Roman" w:cs="Times New Roman"/>
          <w:sz w:val="24"/>
          <w:szCs w:val="24"/>
        </w:rPr>
        <w:t>-частном партнерстве,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</w:t>
      </w:r>
      <w:r w:rsidRPr="00A735BB">
        <w:rPr>
          <w:rFonts w:ascii="Times New Roman" w:hAnsi="Times New Roman" w:cs="Times New Roman"/>
          <w:sz w:val="24"/>
          <w:szCs w:val="24"/>
        </w:rPr>
        <w:t xml:space="preserve"> </w:t>
      </w:r>
      <w:r w:rsidRPr="00A73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[1]</w:t>
      </w:r>
      <w:r w:rsidRPr="00A13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3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A8512" w14:textId="0399C0F8" w:rsidR="00EF0DEB" w:rsidRPr="00A21D89" w:rsidRDefault="006426E8" w:rsidP="009A7452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D89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Министерство экономического развития Российской Федерации публикует рейтинг субъектов по уровню развития ГЧП</w:t>
      </w:r>
      <w:r w:rsidRPr="00A21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r w:rsidR="00EF0DEB" w:rsidRPr="00A21D89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Новосибирская область входит в десятку лидеров и занимает 7 место в рейтинге и 1 место по Сибирскому федеральному округу</w:t>
      </w:r>
      <w:r w:rsidRPr="00A21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2021 год</w:t>
      </w:r>
      <w:r w:rsidR="00E8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2F2" w:rsidRPr="00A13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E82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E822F2" w:rsidRPr="00A13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E82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B844BB4" w14:textId="3EA3892D" w:rsidR="00A735BB" w:rsidRPr="00A735BB" w:rsidRDefault="00A735BB" w:rsidP="009A7452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35BB">
        <w:rPr>
          <w:rFonts w:ascii="Times New Roman" w:hAnsi="Times New Roman" w:cs="Times New Roman"/>
          <w:sz w:val="24"/>
          <w:szCs w:val="24"/>
        </w:rPr>
        <w:t xml:space="preserve">На данный момент в Новосибирской области реализуются 47 проектов через механизм </w:t>
      </w:r>
      <w:r w:rsidR="0097460A">
        <w:rPr>
          <w:rFonts w:ascii="Times New Roman" w:hAnsi="Times New Roman" w:cs="Times New Roman"/>
          <w:sz w:val="24"/>
          <w:szCs w:val="24"/>
        </w:rPr>
        <w:t>ГЧП и МЧП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2810" w:rsidRPr="00712810">
        <w:rPr>
          <w:rFonts w:ascii="Times New Roman" w:hAnsi="Times New Roman"/>
          <w:color w:val="000000" w:themeColor="text1"/>
          <w:kern w:val="0"/>
          <w:sz w:val="28"/>
          <w14:ligatures w14:val="none"/>
        </w:rPr>
        <w:t xml:space="preserve"> </w:t>
      </w:r>
      <w:r w:rsidR="00712810" w:rsidRPr="00712810">
        <w:rPr>
          <w:rFonts w:ascii="Times New Roman" w:hAnsi="Times New Roman" w:cs="Times New Roman"/>
          <w:sz w:val="24"/>
          <w:szCs w:val="24"/>
        </w:rPr>
        <w:t xml:space="preserve">Общий объем инвестиций составляет </w:t>
      </w:r>
      <w:r w:rsidR="0004098E">
        <w:rPr>
          <w:rFonts w:ascii="Times New Roman" w:hAnsi="Times New Roman" w:cs="Times New Roman"/>
          <w:sz w:val="24"/>
          <w:szCs w:val="24"/>
        </w:rPr>
        <w:t>97</w:t>
      </w:r>
      <w:r w:rsidR="00712810" w:rsidRPr="00712810">
        <w:rPr>
          <w:rFonts w:ascii="Times New Roman" w:hAnsi="Times New Roman" w:cs="Times New Roman"/>
          <w:sz w:val="24"/>
          <w:szCs w:val="24"/>
        </w:rPr>
        <w:t>,</w:t>
      </w:r>
      <w:r w:rsidR="0004098E">
        <w:rPr>
          <w:rFonts w:ascii="Times New Roman" w:hAnsi="Times New Roman" w:cs="Times New Roman"/>
          <w:sz w:val="24"/>
          <w:szCs w:val="24"/>
        </w:rPr>
        <w:t>2</w:t>
      </w:r>
      <w:r w:rsidR="00712810" w:rsidRPr="00712810">
        <w:rPr>
          <w:rFonts w:ascii="Times New Roman" w:hAnsi="Times New Roman" w:cs="Times New Roman"/>
          <w:sz w:val="24"/>
          <w:szCs w:val="24"/>
        </w:rPr>
        <w:t xml:space="preserve"> млрд рублей. Инвестиции со стороны частного партнера составляют большую часть- 50,</w:t>
      </w:r>
      <w:r w:rsidR="000D137D">
        <w:rPr>
          <w:rFonts w:ascii="Times New Roman" w:hAnsi="Times New Roman" w:cs="Times New Roman"/>
          <w:sz w:val="24"/>
          <w:szCs w:val="24"/>
        </w:rPr>
        <w:t>3</w:t>
      </w:r>
      <w:r w:rsidR="00712810" w:rsidRPr="00712810">
        <w:rPr>
          <w:rFonts w:ascii="Times New Roman" w:hAnsi="Times New Roman" w:cs="Times New Roman"/>
          <w:sz w:val="24"/>
          <w:szCs w:val="24"/>
        </w:rPr>
        <w:t xml:space="preserve"> млрд рублей, объем бюджетных инвестиций составляет </w:t>
      </w:r>
      <w:r w:rsidR="000D137D">
        <w:rPr>
          <w:rFonts w:ascii="Times New Roman" w:hAnsi="Times New Roman" w:cs="Times New Roman"/>
          <w:sz w:val="24"/>
          <w:szCs w:val="24"/>
        </w:rPr>
        <w:t>46</w:t>
      </w:r>
      <w:r w:rsidR="00712810" w:rsidRPr="00712810">
        <w:rPr>
          <w:rFonts w:ascii="Times New Roman" w:hAnsi="Times New Roman" w:cs="Times New Roman"/>
          <w:sz w:val="24"/>
          <w:szCs w:val="24"/>
        </w:rPr>
        <w:t>,</w:t>
      </w:r>
      <w:r w:rsidR="000D137D">
        <w:rPr>
          <w:rFonts w:ascii="Times New Roman" w:hAnsi="Times New Roman" w:cs="Times New Roman"/>
          <w:sz w:val="24"/>
          <w:szCs w:val="24"/>
        </w:rPr>
        <w:t>9</w:t>
      </w:r>
      <w:r w:rsidR="00712810" w:rsidRPr="00712810">
        <w:rPr>
          <w:rFonts w:ascii="Times New Roman" w:hAnsi="Times New Roman" w:cs="Times New Roman"/>
          <w:sz w:val="24"/>
          <w:szCs w:val="24"/>
        </w:rPr>
        <w:t xml:space="preserve"> млрд рублей.</w:t>
      </w:r>
      <w:r w:rsidR="007D1598" w:rsidRPr="007D1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1598" w:rsidRPr="00A73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E73D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D1598" w:rsidRPr="00A73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14:paraId="6DB777C8" w14:textId="77777777" w:rsidR="00FD3DA4" w:rsidRDefault="00FD3DA4" w:rsidP="009A7452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71666A9" w14:textId="5ED86524" w:rsidR="00FD3DA4" w:rsidRDefault="00FD3DA4" w:rsidP="00FD3DA4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Чтобы </w:t>
      </w:r>
      <w:r w:rsidR="000A1470">
        <w:rPr>
          <w:rFonts w:ascii="Times New Roman" w:hAnsi="Times New Roman" w:cs="Times New Roman"/>
          <w:iCs/>
          <w:sz w:val="24"/>
          <w:szCs w:val="24"/>
        </w:rPr>
        <w:t>проанализировать ГЧП в</w:t>
      </w:r>
      <w:r w:rsidR="00E82582">
        <w:rPr>
          <w:rFonts w:ascii="Times New Roman" w:hAnsi="Times New Roman" w:cs="Times New Roman"/>
          <w:iCs/>
          <w:sz w:val="24"/>
          <w:szCs w:val="24"/>
        </w:rPr>
        <w:t xml:space="preserve"> отрасли</w:t>
      </w:r>
      <w:r w:rsidR="000A14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2582">
        <w:rPr>
          <w:rFonts w:ascii="Times New Roman" w:hAnsi="Times New Roman" w:cs="Times New Roman"/>
          <w:iCs/>
          <w:sz w:val="24"/>
          <w:szCs w:val="24"/>
        </w:rPr>
        <w:t xml:space="preserve">здравоохранения в </w:t>
      </w:r>
      <w:r w:rsidR="000A1470">
        <w:rPr>
          <w:rFonts w:ascii="Times New Roman" w:hAnsi="Times New Roman" w:cs="Times New Roman"/>
          <w:iCs/>
          <w:sz w:val="24"/>
          <w:szCs w:val="24"/>
        </w:rPr>
        <w:t xml:space="preserve">Новосибирской области </w:t>
      </w:r>
      <w:r w:rsidR="00AC3752">
        <w:rPr>
          <w:rFonts w:ascii="Times New Roman" w:hAnsi="Times New Roman" w:cs="Times New Roman"/>
          <w:iCs/>
          <w:sz w:val="24"/>
          <w:szCs w:val="24"/>
        </w:rPr>
        <w:t>проведе</w:t>
      </w:r>
      <w:r w:rsidR="00E82582">
        <w:rPr>
          <w:rFonts w:ascii="Times New Roman" w:hAnsi="Times New Roman" w:cs="Times New Roman"/>
          <w:iCs/>
          <w:sz w:val="24"/>
          <w:szCs w:val="24"/>
        </w:rPr>
        <w:t>м</w:t>
      </w:r>
      <w:r w:rsidRPr="00FD3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3DA4">
        <w:rPr>
          <w:rFonts w:ascii="Times New Roman" w:hAnsi="Times New Roman" w:cs="Times New Roman"/>
          <w:sz w:val="24"/>
          <w:szCs w:val="24"/>
        </w:rPr>
        <w:t>SWOT– анализ</w:t>
      </w:r>
      <w:r w:rsidR="00E825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39"/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5670"/>
      </w:tblGrid>
      <w:tr w:rsidR="00145B5B" w:rsidRPr="00FD3DA4" w14:paraId="0F6E2362" w14:textId="77777777" w:rsidTr="00130224">
        <w:trPr>
          <w:trHeight w:val="35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7F0D163" w14:textId="77777777" w:rsidR="007D0E86" w:rsidRPr="00FD3DA4" w:rsidRDefault="007D0E86" w:rsidP="008B760B">
            <w:pPr>
              <w:tabs>
                <w:tab w:val="left" w:pos="709"/>
                <w:tab w:val="left" w:pos="2835"/>
              </w:tabs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C9D73BF" w14:textId="77777777" w:rsidR="007D0E86" w:rsidRPr="00FD3DA4" w:rsidRDefault="007D0E86" w:rsidP="008B760B">
            <w:pPr>
              <w:tabs>
                <w:tab w:val="left" w:pos="709"/>
                <w:tab w:val="left" w:pos="2835"/>
              </w:tabs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145B5B" w:rsidRPr="00FD3DA4" w14:paraId="778B2EAA" w14:textId="77777777" w:rsidTr="00130224">
        <w:trPr>
          <w:trHeight w:val="235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F501489" w14:textId="380CF7B1" w:rsidR="007D0E86" w:rsidRPr="00FD3DA4" w:rsidRDefault="00E82582" w:rsidP="00130224">
            <w:pPr>
              <w:tabs>
                <w:tab w:val="left" w:pos="351"/>
                <w:tab w:val="left" w:pos="283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Снижение</w:t>
            </w:r>
            <w:r w:rsidR="0072244B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на бюджет, экономия бюджетных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E86" w:rsidRPr="00FD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E86" w:rsidRPr="00FD3DA4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13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E86" w:rsidRPr="00FD3DA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отрасли здравоохранения за счет привлечения частных инвестиций.</w:t>
            </w:r>
            <w:r w:rsidR="007D0E86" w:rsidRPr="00FD3D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E308C83" w14:textId="246A70F7" w:rsidR="0003638D" w:rsidRPr="00FD3DA4" w:rsidRDefault="007D0E86" w:rsidP="008B760B">
            <w:pPr>
              <w:tabs>
                <w:tab w:val="left" w:pos="709"/>
                <w:tab w:val="left" w:pos="283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>1. Процедура согласования и заключени</w:t>
            </w:r>
            <w:r w:rsidR="005B25CD">
              <w:rPr>
                <w:rFonts w:ascii="Times New Roman" w:hAnsi="Times New Roman" w:cs="Times New Roman"/>
                <w:sz w:val="24"/>
                <w:szCs w:val="24"/>
              </w:rPr>
              <w:t>я проектов</w:t>
            </w:r>
            <w:r w:rsidR="00CA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>ГЧП</w:t>
            </w:r>
            <w:r w:rsidR="005B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многоэтапная и долговременная по срокам.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Нехватка профессиональных кадров в области сопровождения и реализации проектов ГЧП.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br/>
              <w:t>3. Долгие сроки окупаемости проектов ГЧП для потенциальных инвесторов.</w:t>
            </w:r>
          </w:p>
        </w:tc>
      </w:tr>
      <w:tr w:rsidR="00145B5B" w:rsidRPr="00FD3DA4" w14:paraId="3DB9322F" w14:textId="77777777" w:rsidTr="00130224">
        <w:trPr>
          <w:trHeight w:val="35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18A2EFD" w14:textId="77777777" w:rsidR="007D0E86" w:rsidRPr="00FD3DA4" w:rsidRDefault="007D0E86" w:rsidP="008B760B">
            <w:pPr>
              <w:tabs>
                <w:tab w:val="left" w:pos="709"/>
                <w:tab w:val="left" w:pos="2835"/>
              </w:tabs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D3963DF" w14:textId="77777777" w:rsidR="007D0E86" w:rsidRPr="00FD3DA4" w:rsidRDefault="007D0E86" w:rsidP="008B760B">
            <w:pPr>
              <w:tabs>
                <w:tab w:val="left" w:pos="709"/>
                <w:tab w:val="left" w:pos="2835"/>
              </w:tabs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145B5B" w:rsidRPr="00FD3DA4" w14:paraId="0CD65B14" w14:textId="77777777" w:rsidTr="00130224">
        <w:trPr>
          <w:trHeight w:val="380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8A13265" w14:textId="782C33A2" w:rsidR="007D0E86" w:rsidRDefault="007D0E86" w:rsidP="008B760B">
            <w:pPr>
              <w:tabs>
                <w:tab w:val="left" w:pos="709"/>
                <w:tab w:val="left" w:pos="283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медицинской помощи для населения Новосибирской области.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Повышение качества оказываемых и предлагаемых медицинских услуг. 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810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>Внедрение новых информационных технологий.</w:t>
            </w:r>
          </w:p>
          <w:p w14:paraId="04C71C8E" w14:textId="10B28285" w:rsidR="009B5AB5" w:rsidRPr="00FD3DA4" w:rsidRDefault="009B5AB5" w:rsidP="008B760B">
            <w:pPr>
              <w:tabs>
                <w:tab w:val="left" w:pos="709"/>
                <w:tab w:val="left" w:pos="283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Возможность для государства реализовывать крупные проекты в рамках ограниченного бюджета.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59F2124" w14:textId="3C64C462" w:rsidR="007D0E86" w:rsidRPr="00FD3DA4" w:rsidRDefault="007D0E86" w:rsidP="008B760B">
            <w:pPr>
              <w:tabs>
                <w:tab w:val="left" w:pos="709"/>
                <w:tab w:val="left" w:pos="283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 xml:space="preserve">1.Утрата госсобственности, продажа государственных медицинских организаций частным компаниям.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Санкции со стороны недружественных государств затрудняют развитие отрасли, а также строительство и реконструкцию объектов здравоохранения. 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br/>
              <w:t>3. Расширение частной собственности в отрасли здравоохранения прив</w:t>
            </w:r>
            <w:r w:rsidR="00AC4A81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FD3DA4">
              <w:rPr>
                <w:rFonts w:ascii="Times New Roman" w:hAnsi="Times New Roman" w:cs="Times New Roman"/>
                <w:sz w:val="24"/>
                <w:szCs w:val="24"/>
              </w:rPr>
              <w:t xml:space="preserve">т к утрате контроля за отраслью. </w:t>
            </w:r>
          </w:p>
          <w:p w14:paraId="24C74CB4" w14:textId="77777777" w:rsidR="007D0E86" w:rsidRPr="00FD3DA4" w:rsidRDefault="007D0E86" w:rsidP="008B760B">
            <w:pPr>
              <w:tabs>
                <w:tab w:val="left" w:pos="709"/>
                <w:tab w:val="left" w:pos="2835"/>
              </w:tabs>
              <w:spacing w:after="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75184" w14:textId="11ACEA35" w:rsidR="008B760B" w:rsidRDefault="007D0E86" w:rsidP="008B7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E8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37EA6">
        <w:rPr>
          <w:rFonts w:ascii="Times New Roman" w:hAnsi="Times New Roman" w:cs="Times New Roman"/>
          <w:sz w:val="24"/>
          <w:szCs w:val="24"/>
        </w:rPr>
        <w:t>1</w:t>
      </w:r>
      <w:r w:rsidRPr="007D0E86">
        <w:rPr>
          <w:rFonts w:ascii="Times New Roman" w:hAnsi="Times New Roman" w:cs="Times New Roman"/>
          <w:sz w:val="24"/>
          <w:szCs w:val="24"/>
        </w:rPr>
        <w:t xml:space="preserve"> – SWOT– анализ ГЧП в</w:t>
      </w:r>
      <w:r w:rsidR="008B760B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Pr="007D0E86">
        <w:rPr>
          <w:rFonts w:ascii="Times New Roman" w:hAnsi="Times New Roman" w:cs="Times New Roman"/>
          <w:sz w:val="24"/>
          <w:szCs w:val="24"/>
        </w:rPr>
        <w:t xml:space="preserve"> здравоохранени</w:t>
      </w:r>
      <w:r w:rsidR="008B760B">
        <w:rPr>
          <w:rFonts w:ascii="Times New Roman" w:hAnsi="Times New Roman" w:cs="Times New Roman"/>
          <w:sz w:val="24"/>
          <w:szCs w:val="24"/>
        </w:rPr>
        <w:t>я</w:t>
      </w:r>
      <w:r w:rsidRPr="007D0E86">
        <w:rPr>
          <w:rFonts w:ascii="Times New Roman" w:hAnsi="Times New Roman" w:cs="Times New Roman"/>
          <w:sz w:val="24"/>
          <w:szCs w:val="24"/>
        </w:rPr>
        <w:t xml:space="preserve"> в Н</w:t>
      </w:r>
      <w:r w:rsidR="00071D60">
        <w:rPr>
          <w:rFonts w:ascii="Times New Roman" w:hAnsi="Times New Roman" w:cs="Times New Roman"/>
          <w:sz w:val="24"/>
          <w:szCs w:val="24"/>
        </w:rPr>
        <w:t>овосибирской области</w:t>
      </w:r>
    </w:p>
    <w:p w14:paraId="638ED959" w14:textId="40B7A5FD" w:rsidR="00642669" w:rsidRPr="00642669" w:rsidRDefault="00642669" w:rsidP="007B3C5B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2669">
        <w:rPr>
          <w:rFonts w:ascii="Times New Roman" w:hAnsi="Times New Roman" w:cs="Times New Roman"/>
          <w:sz w:val="24"/>
          <w:szCs w:val="24"/>
        </w:rPr>
        <w:t xml:space="preserve">В реализации проектов </w:t>
      </w:r>
      <w:r w:rsidR="00AA7E10">
        <w:rPr>
          <w:rFonts w:ascii="Times New Roman" w:hAnsi="Times New Roman" w:cs="Times New Roman"/>
          <w:sz w:val="24"/>
          <w:szCs w:val="24"/>
        </w:rPr>
        <w:t>ГЧП</w:t>
      </w:r>
      <w:r w:rsidRPr="00642669">
        <w:rPr>
          <w:rFonts w:ascii="Times New Roman" w:hAnsi="Times New Roman" w:cs="Times New Roman"/>
          <w:sz w:val="24"/>
          <w:szCs w:val="24"/>
        </w:rPr>
        <w:t xml:space="preserve"> в Новосибирской области были выделены следующие проблемы:</w:t>
      </w:r>
    </w:p>
    <w:p w14:paraId="7A352623" w14:textId="29D95F0D" w:rsidR="00642669" w:rsidRPr="00642669" w:rsidRDefault="00642669" w:rsidP="009A7452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2669">
        <w:rPr>
          <w:rFonts w:ascii="Times New Roman" w:hAnsi="Times New Roman" w:cs="Times New Roman"/>
          <w:sz w:val="24"/>
          <w:szCs w:val="24"/>
        </w:rPr>
        <w:t>1. Недостаточная мотивация частной стороны инвестировать в проекты ГЧП в отрасли здравоохранения. Во- первых, потому что сроки окупаемости проектов ГЧП могут исчисляться десятилетиям</w:t>
      </w:r>
      <w:r w:rsidR="00A83F3B">
        <w:rPr>
          <w:rFonts w:ascii="Times New Roman" w:hAnsi="Times New Roman" w:cs="Times New Roman"/>
          <w:sz w:val="24"/>
          <w:szCs w:val="24"/>
        </w:rPr>
        <w:t>и</w:t>
      </w:r>
      <w:r w:rsidRPr="00642669">
        <w:rPr>
          <w:rFonts w:ascii="Times New Roman" w:hAnsi="Times New Roman" w:cs="Times New Roman"/>
          <w:sz w:val="24"/>
          <w:szCs w:val="24"/>
        </w:rPr>
        <w:t xml:space="preserve">. Во- вторых, потому что инвесторы опасаются рисков и хотят видеть четкие гарантии, чтобы обезопасить себя от непредвиденных ситуаций. </w:t>
      </w:r>
    </w:p>
    <w:p w14:paraId="640501C0" w14:textId="38B37A29" w:rsidR="00642669" w:rsidRPr="00642669" w:rsidRDefault="00642669" w:rsidP="009A7452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2669">
        <w:rPr>
          <w:rFonts w:ascii="Times New Roman" w:hAnsi="Times New Roman" w:cs="Times New Roman"/>
          <w:sz w:val="24"/>
          <w:szCs w:val="24"/>
        </w:rPr>
        <w:t xml:space="preserve">2. </w:t>
      </w:r>
      <w:r w:rsidR="004A4DF1">
        <w:rPr>
          <w:rFonts w:ascii="Times New Roman" w:hAnsi="Times New Roman" w:cs="Times New Roman"/>
          <w:sz w:val="24"/>
          <w:szCs w:val="24"/>
        </w:rPr>
        <w:t>Н</w:t>
      </w:r>
      <w:r w:rsidRPr="00642669">
        <w:rPr>
          <w:rFonts w:ascii="Times New Roman" w:hAnsi="Times New Roman" w:cs="Times New Roman"/>
          <w:sz w:val="24"/>
          <w:szCs w:val="24"/>
        </w:rPr>
        <w:t>еобходимост</w:t>
      </w:r>
      <w:r w:rsidR="004A4DF1">
        <w:rPr>
          <w:rFonts w:ascii="Times New Roman" w:hAnsi="Times New Roman" w:cs="Times New Roman"/>
          <w:sz w:val="24"/>
          <w:szCs w:val="24"/>
        </w:rPr>
        <w:t>ь</w:t>
      </w:r>
      <w:r w:rsidRPr="00642669">
        <w:rPr>
          <w:rFonts w:ascii="Times New Roman" w:hAnsi="Times New Roman" w:cs="Times New Roman"/>
          <w:sz w:val="24"/>
          <w:szCs w:val="24"/>
        </w:rPr>
        <w:t xml:space="preserve"> в квалифицированных кадрах в области рассмотрения, оценки рисков, сопровождения и реализации проектов ГЧП.</w:t>
      </w:r>
    </w:p>
    <w:p w14:paraId="7FE74CA4" w14:textId="25D21E9F" w:rsidR="003029E0" w:rsidRDefault="00642669" w:rsidP="009A7452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2669">
        <w:rPr>
          <w:rFonts w:ascii="Times New Roman" w:hAnsi="Times New Roman" w:cs="Times New Roman"/>
          <w:sz w:val="24"/>
          <w:szCs w:val="24"/>
        </w:rPr>
        <w:t xml:space="preserve">3. Сложность, которая заключается в многоэтапности и долговременности по срокам процедуры заключения и согласования проектов ГЧП. </w:t>
      </w:r>
    </w:p>
    <w:p w14:paraId="33D5483B" w14:textId="39685BFB" w:rsidR="001479DB" w:rsidRDefault="00642669" w:rsidP="00437EA6">
      <w:pPr>
        <w:tabs>
          <w:tab w:val="left" w:pos="709"/>
          <w:tab w:val="left" w:pos="28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2669">
        <w:rPr>
          <w:rFonts w:ascii="Times New Roman" w:hAnsi="Times New Roman" w:cs="Times New Roman"/>
          <w:sz w:val="24"/>
          <w:szCs w:val="24"/>
        </w:rPr>
        <w:t xml:space="preserve">4. Нестабильная экономическая обстановка. </w:t>
      </w:r>
      <w:r w:rsidR="004E0C7D">
        <w:rPr>
          <w:rFonts w:ascii="Times New Roman" w:hAnsi="Times New Roman" w:cs="Times New Roman"/>
          <w:sz w:val="24"/>
          <w:szCs w:val="24"/>
        </w:rPr>
        <w:t>П</w:t>
      </w:r>
      <w:r w:rsidR="004E0C7D" w:rsidRPr="00642669">
        <w:rPr>
          <w:rFonts w:ascii="Times New Roman" w:hAnsi="Times New Roman" w:cs="Times New Roman"/>
          <w:sz w:val="24"/>
          <w:szCs w:val="24"/>
        </w:rPr>
        <w:t xml:space="preserve">роцент по кредитам </w:t>
      </w:r>
      <w:r w:rsidR="005B283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42669">
        <w:rPr>
          <w:rFonts w:ascii="Times New Roman" w:hAnsi="Times New Roman" w:cs="Times New Roman"/>
          <w:sz w:val="24"/>
          <w:szCs w:val="24"/>
        </w:rPr>
        <w:t xml:space="preserve">частного сектора </w:t>
      </w:r>
      <w:r w:rsidR="00EC15D2">
        <w:rPr>
          <w:rFonts w:ascii="Times New Roman" w:hAnsi="Times New Roman" w:cs="Times New Roman"/>
          <w:sz w:val="24"/>
          <w:szCs w:val="24"/>
        </w:rPr>
        <w:t xml:space="preserve">меняется </w:t>
      </w:r>
      <w:r w:rsidRPr="00642669">
        <w:rPr>
          <w:rFonts w:ascii="Times New Roman" w:hAnsi="Times New Roman" w:cs="Times New Roman"/>
          <w:sz w:val="24"/>
          <w:szCs w:val="24"/>
        </w:rPr>
        <w:t>в зависимости от политической обстановки. И</w:t>
      </w:r>
      <w:r w:rsidR="00C92F9E">
        <w:rPr>
          <w:rFonts w:ascii="Times New Roman" w:hAnsi="Times New Roman" w:cs="Times New Roman"/>
          <w:sz w:val="24"/>
          <w:szCs w:val="24"/>
        </w:rPr>
        <w:t>,</w:t>
      </w:r>
      <w:r w:rsidRPr="00642669">
        <w:rPr>
          <w:rFonts w:ascii="Times New Roman" w:hAnsi="Times New Roman" w:cs="Times New Roman"/>
          <w:sz w:val="24"/>
          <w:szCs w:val="24"/>
        </w:rPr>
        <w:t xml:space="preserve"> как следстви</w:t>
      </w:r>
      <w:r w:rsidR="00EC15D2">
        <w:rPr>
          <w:rFonts w:ascii="Times New Roman" w:hAnsi="Times New Roman" w:cs="Times New Roman"/>
          <w:sz w:val="24"/>
          <w:szCs w:val="24"/>
        </w:rPr>
        <w:t>е</w:t>
      </w:r>
      <w:r w:rsidR="00C92F9E">
        <w:rPr>
          <w:rFonts w:ascii="Times New Roman" w:hAnsi="Times New Roman" w:cs="Times New Roman"/>
          <w:sz w:val="24"/>
          <w:szCs w:val="24"/>
        </w:rPr>
        <w:t>,</w:t>
      </w:r>
      <w:r w:rsidRPr="00642669">
        <w:rPr>
          <w:rFonts w:ascii="Times New Roman" w:hAnsi="Times New Roman" w:cs="Times New Roman"/>
          <w:sz w:val="24"/>
          <w:szCs w:val="24"/>
        </w:rPr>
        <w:t xml:space="preserve"> не всегда проекты могут быть реализованы и начаты в срок. </w:t>
      </w:r>
    </w:p>
    <w:p w14:paraId="5A79811A" w14:textId="4B3DBFDF" w:rsidR="00F326B5" w:rsidRPr="001479DB" w:rsidRDefault="00464470" w:rsidP="00437EA6">
      <w:pPr>
        <w:tabs>
          <w:tab w:val="left" w:pos="709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47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37EA6">
        <w:rPr>
          <w:rFonts w:ascii="Times New Roman" w:hAnsi="Times New Roman" w:cs="Times New Roman"/>
          <w:sz w:val="24"/>
          <w:szCs w:val="24"/>
        </w:rPr>
        <w:t>2</w:t>
      </w:r>
      <w:r w:rsidRPr="00464470">
        <w:rPr>
          <w:rFonts w:ascii="Times New Roman" w:hAnsi="Times New Roman" w:cs="Times New Roman"/>
          <w:sz w:val="24"/>
          <w:szCs w:val="24"/>
        </w:rPr>
        <w:t xml:space="preserve"> – Реестр рисков реализации проекта, требующих первоочередного реагирования</w:t>
      </w:r>
    </w:p>
    <w:tbl>
      <w:tblPr>
        <w:tblW w:w="57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5529"/>
      </w:tblGrid>
      <w:tr w:rsidR="00340C40" w:rsidRPr="00F326B5" w14:paraId="006037E1" w14:textId="77777777" w:rsidTr="00972E5C">
        <w:trPr>
          <w:trHeight w:val="1348"/>
        </w:trPr>
        <w:tc>
          <w:tcPr>
            <w:tcW w:w="200" w:type="pct"/>
            <w:shd w:val="clear" w:color="auto" w:fill="auto"/>
          </w:tcPr>
          <w:p w14:paraId="2DEF9C18" w14:textId="636817D8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0" w:type="pct"/>
            <w:shd w:val="clear" w:color="auto" w:fill="auto"/>
          </w:tcPr>
          <w:p w14:paraId="5C441929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600" w:type="pct"/>
            <w:shd w:val="clear" w:color="auto" w:fill="auto"/>
          </w:tcPr>
          <w:p w14:paraId="25C35606" w14:textId="1D6AA8E5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</w:t>
            </w:r>
          </w:p>
        </w:tc>
        <w:tc>
          <w:tcPr>
            <w:tcW w:w="2600" w:type="pct"/>
            <w:shd w:val="clear" w:color="auto" w:fill="auto"/>
          </w:tcPr>
          <w:p w14:paraId="51C7FDCB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Мероприятия по нейтрализации</w:t>
            </w:r>
          </w:p>
        </w:tc>
      </w:tr>
      <w:tr w:rsidR="00340C40" w:rsidRPr="00F326B5" w14:paraId="0112EA05" w14:textId="77777777" w:rsidTr="00972E5C">
        <w:tc>
          <w:tcPr>
            <w:tcW w:w="200" w:type="pct"/>
            <w:shd w:val="clear" w:color="auto" w:fill="auto"/>
          </w:tcPr>
          <w:p w14:paraId="064C7222" w14:textId="614EDA40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pct"/>
            <w:shd w:val="clear" w:color="auto" w:fill="auto"/>
          </w:tcPr>
          <w:p w14:paraId="3DC32917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частной стороны инвестировать в проекты ГЧП</w:t>
            </w:r>
          </w:p>
        </w:tc>
        <w:tc>
          <w:tcPr>
            <w:tcW w:w="600" w:type="pct"/>
            <w:shd w:val="clear" w:color="auto" w:fill="auto"/>
          </w:tcPr>
          <w:p w14:paraId="07686025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600" w:type="pct"/>
            <w:shd w:val="clear" w:color="auto" w:fill="auto"/>
          </w:tcPr>
          <w:p w14:paraId="25E94543" w14:textId="68B3F68F" w:rsidR="00887215" w:rsidRPr="00F326B5" w:rsidRDefault="00887215" w:rsidP="00AC598B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чтобы привлечь инвесторов</w:t>
            </w:r>
            <w:r w:rsidR="00705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с потенциальным</w:t>
            </w:r>
            <w:r w:rsidR="00705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</w:t>
            </w:r>
            <w:r w:rsidR="007059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.  Создание цифрового реестра проектов ГЧП с возможностью построения прогнозных сценариев</w:t>
            </w:r>
            <w:r w:rsidR="00705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8BF">
              <w:rPr>
                <w:rFonts w:ascii="Times New Roman" w:hAnsi="Times New Roman" w:cs="Times New Roman"/>
                <w:sz w:val="24"/>
                <w:szCs w:val="24"/>
              </w:rPr>
              <w:t>бозначить четкие и п</w:t>
            </w:r>
            <w:r w:rsidR="00972E5C">
              <w:rPr>
                <w:rFonts w:ascii="Times New Roman" w:hAnsi="Times New Roman" w:cs="Times New Roman"/>
                <w:sz w:val="24"/>
                <w:szCs w:val="24"/>
              </w:rPr>
              <w:t>онятные для инвестора выгод</w:t>
            </w:r>
            <w:r w:rsidR="00780C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C598B">
              <w:rPr>
                <w:rFonts w:ascii="Times New Roman" w:hAnsi="Times New Roman" w:cs="Times New Roman"/>
                <w:sz w:val="24"/>
                <w:szCs w:val="24"/>
              </w:rPr>
              <w:t xml:space="preserve"> от вложения в проект. </w:t>
            </w:r>
          </w:p>
        </w:tc>
      </w:tr>
      <w:tr w:rsidR="00340C40" w:rsidRPr="003D6787" w14:paraId="78A0C049" w14:textId="77777777" w:rsidTr="00972E5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B9C4" w14:textId="2917AC9B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9275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Проблема необходимости в квалифицированных кадрах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F93D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63F" w14:textId="5205BDEA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и переподготовки. Добавление в программы обучения для гос. служащих дисциплины «проектная деятельность»</w:t>
            </w:r>
            <w:r w:rsidR="00BF5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40" w:rsidRPr="003D6787" w14:paraId="2A115E1C" w14:textId="77777777" w:rsidTr="00972E5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A508" w14:textId="0C458A9B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0F21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Сложность, которая заключается в многоэтапности и долговременности по срокам процедуры заключения и согласования проектов ГЧП.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C179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1772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регионального законодательства, уменьшение сроков рассмотрения проектов ГЧП. </w:t>
            </w:r>
          </w:p>
        </w:tc>
      </w:tr>
      <w:tr w:rsidR="00340C40" w:rsidRPr="003D6787" w14:paraId="708D534C" w14:textId="77777777" w:rsidTr="00972E5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2F03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73EF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Нестабильная экономическая обстановка (увеличение процентных ставок)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C55D" w14:textId="77777777" w:rsidR="00887215" w:rsidRPr="00F326B5" w:rsidRDefault="00887215" w:rsidP="00F459FD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650A" w14:textId="77777777" w:rsidR="00887215" w:rsidRPr="00F326B5" w:rsidRDefault="00887215" w:rsidP="00AE42D9">
            <w:pPr>
              <w:tabs>
                <w:tab w:val="left" w:pos="709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предоставления кредитных средств для реализации проектов ГЧП. Внедрение процедуры детальной оценки рисков. </w:t>
            </w:r>
          </w:p>
          <w:p w14:paraId="10F70BD3" w14:textId="77777777" w:rsidR="00887215" w:rsidRPr="00F326B5" w:rsidRDefault="00887215" w:rsidP="00F326B5">
            <w:pPr>
              <w:tabs>
                <w:tab w:val="left" w:pos="709"/>
                <w:tab w:val="left" w:pos="2835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0E1F9" w14:textId="77777777" w:rsidR="00AE42D9" w:rsidRDefault="00AE42D9" w:rsidP="00AE42D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A8F34" w14:textId="1BF3F1D3" w:rsidR="00D40224" w:rsidRPr="00A13DDD" w:rsidRDefault="00D40224" w:rsidP="00AE4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DDD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0D5F1D0B" w14:textId="57EEA336" w:rsidR="00320D99" w:rsidRDefault="00D40224" w:rsidP="00D402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1" w:name="_Hlk121927648"/>
      <w:r>
        <w:rPr>
          <w:rFonts w:ascii="Times New Roman" w:hAnsi="Times New Roman" w:cs="Times New Roman"/>
          <w:sz w:val="24"/>
          <w:szCs w:val="32"/>
        </w:rPr>
        <w:t xml:space="preserve">1. </w:t>
      </w:r>
      <w:r w:rsidRPr="00A13DDD">
        <w:rPr>
          <w:rFonts w:ascii="Times New Roman" w:hAnsi="Times New Roman" w:cs="Times New Roman"/>
          <w:sz w:val="24"/>
          <w:szCs w:val="32"/>
        </w:rPr>
        <w:t xml:space="preserve">Федеральный закон «О государственно-частном партнерстве, </w:t>
      </w:r>
      <w:proofErr w:type="spellStart"/>
      <w:r w:rsidRPr="00A13DDD">
        <w:rPr>
          <w:rFonts w:ascii="Times New Roman" w:hAnsi="Times New Roman" w:cs="Times New Roman"/>
          <w:sz w:val="24"/>
          <w:szCs w:val="32"/>
        </w:rPr>
        <w:t>муниципально</w:t>
      </w:r>
      <w:proofErr w:type="spellEnd"/>
      <w:r w:rsidRPr="00A13DDD">
        <w:rPr>
          <w:rFonts w:ascii="Times New Roman" w:hAnsi="Times New Roman" w:cs="Times New Roman"/>
          <w:sz w:val="24"/>
          <w:szCs w:val="32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от 13.07.2015 N 224-ФЗ [Электронный ресурс] </w:t>
      </w:r>
      <w:r w:rsidRPr="00A13DDD">
        <w:rPr>
          <w:rFonts w:ascii="Times New Roman" w:hAnsi="Times New Roman" w:cs="Times New Roman"/>
          <w:sz w:val="24"/>
          <w:szCs w:val="32"/>
          <w:lang w:val="en-US"/>
        </w:rPr>
        <w:t>URL</w:t>
      </w:r>
      <w:r w:rsidRPr="00A13DDD">
        <w:rPr>
          <w:rFonts w:ascii="Times New Roman" w:hAnsi="Times New Roman" w:cs="Times New Roman"/>
          <w:sz w:val="24"/>
          <w:szCs w:val="32"/>
        </w:rPr>
        <w:t xml:space="preserve">: </w:t>
      </w:r>
      <w:hyperlink r:id="rId8" w:history="1">
        <w:r w:rsidRPr="00A13DDD">
          <w:rPr>
            <w:rStyle w:val="a6"/>
            <w:rFonts w:ascii="Times New Roman" w:hAnsi="Times New Roman" w:cs="Times New Roman"/>
            <w:sz w:val="24"/>
            <w:szCs w:val="32"/>
          </w:rPr>
          <w:t>https://www.consultant.ru/document/cons_doc_LAW_182660/</w:t>
        </w:r>
      </w:hyperlink>
      <w:r w:rsidRPr="00A13DDD">
        <w:rPr>
          <w:rFonts w:ascii="Times New Roman" w:hAnsi="Times New Roman" w:cs="Times New Roman"/>
          <w:sz w:val="24"/>
          <w:szCs w:val="32"/>
        </w:rPr>
        <w:t xml:space="preserve"> (дата обращения: 08.</w:t>
      </w:r>
      <w:r w:rsidR="004947E1">
        <w:rPr>
          <w:rFonts w:ascii="Times New Roman" w:hAnsi="Times New Roman" w:cs="Times New Roman"/>
          <w:sz w:val="24"/>
          <w:szCs w:val="32"/>
        </w:rPr>
        <w:t>04</w:t>
      </w:r>
      <w:r w:rsidRPr="00A13DDD">
        <w:rPr>
          <w:rFonts w:ascii="Times New Roman" w:hAnsi="Times New Roman" w:cs="Times New Roman"/>
          <w:sz w:val="24"/>
          <w:szCs w:val="32"/>
        </w:rPr>
        <w:t>.202</w:t>
      </w:r>
      <w:r w:rsidR="004947E1">
        <w:rPr>
          <w:rFonts w:ascii="Times New Roman" w:hAnsi="Times New Roman" w:cs="Times New Roman"/>
          <w:sz w:val="24"/>
          <w:szCs w:val="32"/>
        </w:rPr>
        <w:t>3</w:t>
      </w:r>
      <w:r w:rsidRPr="00A13DDD">
        <w:rPr>
          <w:rFonts w:ascii="Times New Roman" w:hAnsi="Times New Roman" w:cs="Times New Roman"/>
          <w:sz w:val="24"/>
          <w:szCs w:val="32"/>
        </w:rPr>
        <w:t>)</w:t>
      </w:r>
    </w:p>
    <w:p w14:paraId="5C1083EE" w14:textId="5CD7EBD2" w:rsidR="007D1598" w:rsidRPr="007D1598" w:rsidRDefault="00244BE7" w:rsidP="007D15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</w:t>
      </w:r>
      <w:r w:rsidR="00021A4E">
        <w:rPr>
          <w:rFonts w:ascii="Times New Roman" w:hAnsi="Times New Roman" w:cs="Times New Roman"/>
          <w:sz w:val="24"/>
          <w:szCs w:val="32"/>
        </w:rPr>
        <w:t xml:space="preserve">. </w:t>
      </w:r>
      <w:r w:rsidR="007D1598" w:rsidRPr="007D1598">
        <w:rPr>
          <w:rFonts w:ascii="Times New Roman" w:hAnsi="Times New Roman" w:cs="Times New Roman"/>
          <w:sz w:val="24"/>
          <w:szCs w:val="32"/>
        </w:rPr>
        <w:t xml:space="preserve">Министерство экономического развития Новосибирской области: сайт. – URL: </w:t>
      </w:r>
      <w:hyperlink r:id="rId9" w:history="1">
        <w:r w:rsidR="007D1598" w:rsidRPr="007D1598">
          <w:rPr>
            <w:rStyle w:val="a6"/>
            <w:rFonts w:ascii="Times New Roman" w:hAnsi="Times New Roman" w:cs="Times New Roman"/>
            <w:sz w:val="24"/>
            <w:szCs w:val="32"/>
          </w:rPr>
          <w:t>https://econom.nso.ru/</w:t>
        </w:r>
      </w:hyperlink>
      <w:r w:rsidR="007D1598" w:rsidRPr="007D1598">
        <w:rPr>
          <w:rFonts w:ascii="Times New Roman" w:hAnsi="Times New Roman" w:cs="Times New Roman"/>
          <w:sz w:val="24"/>
          <w:szCs w:val="32"/>
        </w:rPr>
        <w:t xml:space="preserve">  (дата обращения: 08.</w:t>
      </w:r>
      <w:r w:rsidR="007D1598">
        <w:rPr>
          <w:rFonts w:ascii="Times New Roman" w:hAnsi="Times New Roman" w:cs="Times New Roman"/>
          <w:sz w:val="24"/>
          <w:szCs w:val="32"/>
        </w:rPr>
        <w:t>04</w:t>
      </w:r>
      <w:r w:rsidR="007D1598" w:rsidRPr="007D1598">
        <w:rPr>
          <w:rFonts w:ascii="Times New Roman" w:hAnsi="Times New Roman" w:cs="Times New Roman"/>
          <w:sz w:val="24"/>
          <w:szCs w:val="32"/>
        </w:rPr>
        <w:t>.202</w:t>
      </w:r>
      <w:r w:rsidR="007D1598">
        <w:rPr>
          <w:rFonts w:ascii="Times New Roman" w:hAnsi="Times New Roman" w:cs="Times New Roman"/>
          <w:sz w:val="24"/>
          <w:szCs w:val="32"/>
        </w:rPr>
        <w:t>3</w:t>
      </w:r>
      <w:r w:rsidR="007D1598" w:rsidRPr="007D1598">
        <w:rPr>
          <w:rFonts w:ascii="Times New Roman" w:hAnsi="Times New Roman" w:cs="Times New Roman"/>
          <w:sz w:val="24"/>
          <w:szCs w:val="32"/>
        </w:rPr>
        <w:t>)</w:t>
      </w:r>
    </w:p>
    <w:p w14:paraId="61EAAF4B" w14:textId="6D237175" w:rsidR="004947E1" w:rsidRDefault="00244BE7" w:rsidP="004947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3. </w:t>
      </w:r>
      <w:r w:rsidR="00684274" w:rsidRPr="00684274">
        <w:rPr>
          <w:rFonts w:ascii="Times New Roman" w:hAnsi="Times New Roman" w:cs="Times New Roman"/>
          <w:sz w:val="24"/>
          <w:szCs w:val="32"/>
        </w:rPr>
        <w:t>Министерство экономического развития Российской Федерации рейтинг субъектов Российской Федерации по уровню развития государственно-частного партнерства за 2021 год</w:t>
      </w:r>
      <w:r w:rsidR="00684274">
        <w:rPr>
          <w:rFonts w:ascii="Times New Roman" w:hAnsi="Times New Roman" w:cs="Times New Roman"/>
          <w:sz w:val="24"/>
          <w:szCs w:val="32"/>
        </w:rPr>
        <w:t xml:space="preserve"> </w:t>
      </w:r>
      <w:r w:rsidR="00684274" w:rsidRPr="00684274">
        <w:rPr>
          <w:rFonts w:ascii="Times New Roman" w:hAnsi="Times New Roman" w:cs="Times New Roman"/>
          <w:sz w:val="24"/>
          <w:szCs w:val="32"/>
        </w:rPr>
        <w:t xml:space="preserve">[Электронный ресурс] </w:t>
      </w:r>
      <w:r w:rsidR="00684274" w:rsidRPr="00684274">
        <w:rPr>
          <w:rFonts w:ascii="Times New Roman" w:hAnsi="Times New Roman" w:cs="Times New Roman"/>
          <w:sz w:val="24"/>
          <w:szCs w:val="32"/>
          <w:lang w:val="en-US"/>
        </w:rPr>
        <w:t>URL</w:t>
      </w:r>
      <w:r w:rsidR="00684274" w:rsidRPr="00684274">
        <w:rPr>
          <w:rFonts w:ascii="Times New Roman" w:hAnsi="Times New Roman" w:cs="Times New Roman"/>
          <w:sz w:val="24"/>
          <w:szCs w:val="32"/>
        </w:rPr>
        <w:t xml:space="preserve">: </w:t>
      </w:r>
      <w:hyperlink r:id="rId10" w:history="1">
        <w:r w:rsidR="00D03102" w:rsidRPr="00454805">
          <w:rPr>
            <w:rStyle w:val="a6"/>
            <w:rFonts w:ascii="Times New Roman" w:hAnsi="Times New Roman" w:cs="Times New Roman"/>
            <w:sz w:val="24"/>
            <w:szCs w:val="32"/>
          </w:rPr>
          <w:t>https://www.economy.gov.ru/material/file/de1738536995153cc65c8b47c5ff2520/reiting_gchp_2021.pdf</w:t>
        </w:r>
      </w:hyperlink>
      <w:r w:rsidR="00D03102">
        <w:rPr>
          <w:rFonts w:ascii="Times New Roman" w:hAnsi="Times New Roman" w:cs="Times New Roman"/>
          <w:sz w:val="24"/>
          <w:szCs w:val="32"/>
        </w:rPr>
        <w:t xml:space="preserve"> </w:t>
      </w:r>
      <w:r w:rsidR="00684274" w:rsidRPr="00684274">
        <w:rPr>
          <w:rFonts w:ascii="Times New Roman" w:hAnsi="Times New Roman" w:cs="Times New Roman"/>
          <w:sz w:val="24"/>
          <w:szCs w:val="32"/>
        </w:rPr>
        <w:t>(дата обращения: 08.</w:t>
      </w:r>
      <w:r w:rsidR="00684274">
        <w:rPr>
          <w:rFonts w:ascii="Times New Roman" w:hAnsi="Times New Roman" w:cs="Times New Roman"/>
          <w:sz w:val="24"/>
          <w:szCs w:val="32"/>
        </w:rPr>
        <w:t>04</w:t>
      </w:r>
      <w:r w:rsidR="00684274" w:rsidRPr="00684274">
        <w:rPr>
          <w:rFonts w:ascii="Times New Roman" w:hAnsi="Times New Roman" w:cs="Times New Roman"/>
          <w:sz w:val="24"/>
          <w:szCs w:val="32"/>
        </w:rPr>
        <w:t>.202</w:t>
      </w:r>
      <w:r w:rsidR="00684274">
        <w:rPr>
          <w:rFonts w:ascii="Times New Roman" w:hAnsi="Times New Roman" w:cs="Times New Roman"/>
          <w:sz w:val="24"/>
          <w:szCs w:val="32"/>
        </w:rPr>
        <w:t>3</w:t>
      </w:r>
      <w:r w:rsidR="00684274" w:rsidRPr="00684274">
        <w:rPr>
          <w:rFonts w:ascii="Times New Roman" w:hAnsi="Times New Roman" w:cs="Times New Roman"/>
          <w:sz w:val="24"/>
          <w:szCs w:val="32"/>
        </w:rPr>
        <w:t>)</w:t>
      </w:r>
    </w:p>
    <w:p w14:paraId="7DE843CB" w14:textId="0353B494" w:rsidR="00021A4E" w:rsidRPr="00A13DDD" w:rsidRDefault="00021A4E" w:rsidP="00D402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bookmarkEnd w:id="1"/>
    <w:p w14:paraId="2121254D" w14:textId="77777777" w:rsidR="00D40224" w:rsidRPr="00642669" w:rsidRDefault="00D40224" w:rsidP="00642669">
      <w:pPr>
        <w:tabs>
          <w:tab w:val="left" w:pos="709"/>
          <w:tab w:val="left" w:pos="2835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5B22646" w14:textId="70F78CFC" w:rsidR="00A13DDD" w:rsidRDefault="00A13DDD" w:rsidP="002A4168">
      <w:pPr>
        <w:tabs>
          <w:tab w:val="left" w:pos="709"/>
          <w:tab w:val="left" w:pos="2835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C8FFD1E" w14:textId="375089E3" w:rsidR="00A13DDD" w:rsidRPr="002A4168" w:rsidRDefault="00A13DDD" w:rsidP="002A4168">
      <w:pPr>
        <w:tabs>
          <w:tab w:val="left" w:pos="709"/>
          <w:tab w:val="left" w:pos="2835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D0D5B8F" w14:textId="77777777" w:rsidR="00A13DDD" w:rsidRPr="00A13DDD" w:rsidRDefault="00A13DDD" w:rsidP="00A13DDD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A13DDD" w:rsidRPr="00A13DDD" w:rsidSect="009A745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AE0F" w14:textId="77777777" w:rsidR="00F47036" w:rsidRDefault="00F47036" w:rsidP="00A13DDD">
      <w:pPr>
        <w:spacing w:after="0" w:line="240" w:lineRule="auto"/>
      </w:pPr>
      <w:r>
        <w:separator/>
      </w:r>
    </w:p>
  </w:endnote>
  <w:endnote w:type="continuationSeparator" w:id="0">
    <w:p w14:paraId="3386501B" w14:textId="77777777" w:rsidR="00F47036" w:rsidRDefault="00F47036" w:rsidP="00A1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B9D1" w14:textId="77777777" w:rsidR="00F47036" w:rsidRDefault="00F47036" w:rsidP="00A13DDD">
      <w:pPr>
        <w:spacing w:after="0" w:line="240" w:lineRule="auto"/>
      </w:pPr>
      <w:r>
        <w:separator/>
      </w:r>
    </w:p>
  </w:footnote>
  <w:footnote w:type="continuationSeparator" w:id="0">
    <w:p w14:paraId="2852449B" w14:textId="77777777" w:rsidR="00F47036" w:rsidRDefault="00F47036" w:rsidP="00A1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1B"/>
    <w:rsid w:val="00021A4E"/>
    <w:rsid w:val="0003638D"/>
    <w:rsid w:val="0004098E"/>
    <w:rsid w:val="00071D60"/>
    <w:rsid w:val="000A1470"/>
    <w:rsid w:val="000D137D"/>
    <w:rsid w:val="001201C2"/>
    <w:rsid w:val="00130224"/>
    <w:rsid w:val="00145B4E"/>
    <w:rsid w:val="00145B5B"/>
    <w:rsid w:val="001479DB"/>
    <w:rsid w:val="001A35FE"/>
    <w:rsid w:val="001E7BF7"/>
    <w:rsid w:val="002172C1"/>
    <w:rsid w:val="00244BE7"/>
    <w:rsid w:val="00272542"/>
    <w:rsid w:val="00282C46"/>
    <w:rsid w:val="0028351E"/>
    <w:rsid w:val="002A4168"/>
    <w:rsid w:val="002A5DEE"/>
    <w:rsid w:val="002B7ABC"/>
    <w:rsid w:val="002E1B11"/>
    <w:rsid w:val="003029E0"/>
    <w:rsid w:val="00320D99"/>
    <w:rsid w:val="00340C40"/>
    <w:rsid w:val="003410C6"/>
    <w:rsid w:val="003644B0"/>
    <w:rsid w:val="0039754E"/>
    <w:rsid w:val="003D5848"/>
    <w:rsid w:val="003E7C80"/>
    <w:rsid w:val="00431E98"/>
    <w:rsid w:val="00436BF8"/>
    <w:rsid w:val="00437EA6"/>
    <w:rsid w:val="00464470"/>
    <w:rsid w:val="00466B8D"/>
    <w:rsid w:val="004947E1"/>
    <w:rsid w:val="004A4DF1"/>
    <w:rsid w:val="004D0C46"/>
    <w:rsid w:val="004E0C7D"/>
    <w:rsid w:val="00516C76"/>
    <w:rsid w:val="00556E45"/>
    <w:rsid w:val="005A78BF"/>
    <w:rsid w:val="005B25CD"/>
    <w:rsid w:val="005B2836"/>
    <w:rsid w:val="00642669"/>
    <w:rsid w:val="006426E8"/>
    <w:rsid w:val="00684274"/>
    <w:rsid w:val="00690DF4"/>
    <w:rsid w:val="00696621"/>
    <w:rsid w:val="006A10BE"/>
    <w:rsid w:val="006E1968"/>
    <w:rsid w:val="00700614"/>
    <w:rsid w:val="00705918"/>
    <w:rsid w:val="00712810"/>
    <w:rsid w:val="0072244B"/>
    <w:rsid w:val="00747918"/>
    <w:rsid w:val="00752D41"/>
    <w:rsid w:val="00755EB9"/>
    <w:rsid w:val="00780C26"/>
    <w:rsid w:val="00792702"/>
    <w:rsid w:val="007A47D3"/>
    <w:rsid w:val="007A6D57"/>
    <w:rsid w:val="007B3C5B"/>
    <w:rsid w:val="007D0E86"/>
    <w:rsid w:val="007D1598"/>
    <w:rsid w:val="008108B6"/>
    <w:rsid w:val="00837344"/>
    <w:rsid w:val="00857885"/>
    <w:rsid w:val="00882AD4"/>
    <w:rsid w:val="00887215"/>
    <w:rsid w:val="008B760B"/>
    <w:rsid w:val="008F781B"/>
    <w:rsid w:val="0092009E"/>
    <w:rsid w:val="00941722"/>
    <w:rsid w:val="00972625"/>
    <w:rsid w:val="00972E5C"/>
    <w:rsid w:val="0097460A"/>
    <w:rsid w:val="009763AB"/>
    <w:rsid w:val="0099718A"/>
    <w:rsid w:val="009A7452"/>
    <w:rsid w:val="009B5AB5"/>
    <w:rsid w:val="00A13DDD"/>
    <w:rsid w:val="00A21D89"/>
    <w:rsid w:val="00A735BB"/>
    <w:rsid w:val="00A83F3B"/>
    <w:rsid w:val="00A96D97"/>
    <w:rsid w:val="00AA7E10"/>
    <w:rsid w:val="00AC3752"/>
    <w:rsid w:val="00AC4A81"/>
    <w:rsid w:val="00AC598B"/>
    <w:rsid w:val="00AE42D9"/>
    <w:rsid w:val="00B6299B"/>
    <w:rsid w:val="00BA541B"/>
    <w:rsid w:val="00BE507C"/>
    <w:rsid w:val="00BF502F"/>
    <w:rsid w:val="00BF740C"/>
    <w:rsid w:val="00C01F20"/>
    <w:rsid w:val="00C2249C"/>
    <w:rsid w:val="00C36844"/>
    <w:rsid w:val="00C915DB"/>
    <w:rsid w:val="00C92F9E"/>
    <w:rsid w:val="00C9395F"/>
    <w:rsid w:val="00CA5798"/>
    <w:rsid w:val="00CC5F20"/>
    <w:rsid w:val="00D03102"/>
    <w:rsid w:val="00D245C7"/>
    <w:rsid w:val="00D40224"/>
    <w:rsid w:val="00DA4E57"/>
    <w:rsid w:val="00DB6CA3"/>
    <w:rsid w:val="00E73D56"/>
    <w:rsid w:val="00E822F2"/>
    <w:rsid w:val="00E82582"/>
    <w:rsid w:val="00EA1D7A"/>
    <w:rsid w:val="00EC15D2"/>
    <w:rsid w:val="00EE6149"/>
    <w:rsid w:val="00EF0DEB"/>
    <w:rsid w:val="00F326B5"/>
    <w:rsid w:val="00F459FD"/>
    <w:rsid w:val="00F47036"/>
    <w:rsid w:val="00F9718B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510"/>
  <w15:chartTrackingRefBased/>
  <w15:docId w15:val="{059E0675-2546-418B-98CA-B52A5BB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13DDD"/>
    <w:pPr>
      <w:spacing w:after="0" w:line="240" w:lineRule="auto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13DDD"/>
    <w:rPr>
      <w:rFonts w:ascii="Times New Roman" w:hAnsi="Times New Roman"/>
      <w:kern w:val="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3DDD"/>
    <w:rPr>
      <w:vertAlign w:val="superscript"/>
    </w:rPr>
  </w:style>
  <w:style w:type="character" w:styleId="a6">
    <w:name w:val="Hyperlink"/>
    <w:basedOn w:val="a0"/>
    <w:uiPriority w:val="99"/>
    <w:unhideWhenUsed/>
    <w:rsid w:val="00A13DD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E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F781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4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esyolk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conomy.gov.ru/material/file/de1738536995153cc65c8b47c5ff2520/reiting_gchp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om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B8A3-D97F-47B4-BD86-FB8301E4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Весёлкина</dc:creator>
  <cp:keywords/>
  <dc:description/>
  <cp:lastModifiedBy>Катерина Весёлкина</cp:lastModifiedBy>
  <cp:revision>62</cp:revision>
  <dcterms:created xsi:type="dcterms:W3CDTF">2023-04-09T07:19:00Z</dcterms:created>
  <dcterms:modified xsi:type="dcterms:W3CDTF">2023-04-23T13:36:00Z</dcterms:modified>
</cp:coreProperties>
</file>