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0B2" w:rsidRDefault="007D20B2" w:rsidP="000A5C82">
      <w:pPr>
        <w:spacing w:after="0" w:line="240" w:lineRule="auto"/>
        <w:jc w:val="center"/>
        <w:rPr>
          <w:rFonts w:ascii="Times New Roman" w:hAnsi="Times New Roman" w:cs="Times New Roman"/>
          <w:b/>
          <w:sz w:val="24"/>
          <w:szCs w:val="24"/>
        </w:rPr>
      </w:pPr>
      <w:r w:rsidRPr="007D20B2">
        <w:rPr>
          <w:rFonts w:ascii="Times New Roman" w:hAnsi="Times New Roman" w:cs="Times New Roman"/>
          <w:b/>
          <w:sz w:val="24"/>
          <w:szCs w:val="24"/>
        </w:rPr>
        <w:t>Необходимость наличия запасных частей и ремонтных материалов</w:t>
      </w:r>
    </w:p>
    <w:p w:rsidR="00212415" w:rsidRPr="007D20B2" w:rsidRDefault="007D20B2" w:rsidP="000A5C82">
      <w:pPr>
        <w:spacing w:after="0" w:line="240" w:lineRule="auto"/>
        <w:jc w:val="center"/>
        <w:rPr>
          <w:rFonts w:ascii="Times New Roman" w:hAnsi="Times New Roman" w:cs="Times New Roman"/>
          <w:b/>
          <w:sz w:val="24"/>
          <w:szCs w:val="24"/>
        </w:rPr>
      </w:pPr>
      <w:r w:rsidRPr="007D20B2">
        <w:rPr>
          <w:rFonts w:ascii="Times New Roman" w:hAnsi="Times New Roman" w:cs="Times New Roman"/>
          <w:b/>
          <w:sz w:val="24"/>
          <w:szCs w:val="24"/>
        </w:rPr>
        <w:t>в обменном фонде</w:t>
      </w:r>
    </w:p>
    <w:p w:rsidR="000A5C82" w:rsidRDefault="000A5C82" w:rsidP="000A5C82">
      <w:pPr>
        <w:spacing w:after="0" w:line="240" w:lineRule="auto"/>
        <w:jc w:val="center"/>
        <w:rPr>
          <w:rFonts w:ascii="Times New Roman" w:hAnsi="Times New Roman" w:cs="Times New Roman"/>
          <w:b/>
          <w:sz w:val="24"/>
          <w:szCs w:val="24"/>
        </w:rPr>
      </w:pPr>
    </w:p>
    <w:p w:rsidR="007D20B2" w:rsidRPr="000A5C82" w:rsidRDefault="007D20B2" w:rsidP="000A5C82">
      <w:pPr>
        <w:spacing w:after="0" w:line="240" w:lineRule="auto"/>
        <w:jc w:val="center"/>
        <w:rPr>
          <w:rFonts w:ascii="Times New Roman" w:hAnsi="Times New Roman" w:cs="Times New Roman"/>
          <w:b/>
          <w:i/>
          <w:sz w:val="24"/>
          <w:szCs w:val="24"/>
        </w:rPr>
      </w:pPr>
      <w:r w:rsidRPr="000A5C82">
        <w:rPr>
          <w:rFonts w:ascii="Times New Roman" w:hAnsi="Times New Roman" w:cs="Times New Roman"/>
          <w:b/>
          <w:i/>
          <w:sz w:val="24"/>
          <w:szCs w:val="24"/>
        </w:rPr>
        <w:t>Белобородова В.Г.</w:t>
      </w:r>
    </w:p>
    <w:p w:rsidR="000A5C82" w:rsidRPr="000A5C82" w:rsidRDefault="000A5C82" w:rsidP="000A5C82">
      <w:pPr>
        <w:spacing w:after="0" w:line="240" w:lineRule="auto"/>
        <w:jc w:val="center"/>
        <w:rPr>
          <w:rFonts w:ascii="Times New Roman" w:hAnsi="Times New Roman" w:cs="Times New Roman"/>
          <w:i/>
          <w:sz w:val="24"/>
          <w:szCs w:val="24"/>
        </w:rPr>
      </w:pPr>
      <w:r w:rsidRPr="000A5C82">
        <w:rPr>
          <w:rFonts w:ascii="Times New Roman" w:hAnsi="Times New Roman" w:cs="Times New Roman"/>
          <w:i/>
          <w:sz w:val="24"/>
          <w:szCs w:val="24"/>
        </w:rPr>
        <w:t>магистрант</w:t>
      </w:r>
    </w:p>
    <w:p w:rsidR="007D20B2" w:rsidRPr="000A5C82" w:rsidRDefault="000A5C82" w:rsidP="000A5C82">
      <w:pPr>
        <w:spacing w:after="0" w:line="240" w:lineRule="auto"/>
        <w:jc w:val="center"/>
        <w:rPr>
          <w:rFonts w:ascii="Times New Roman" w:hAnsi="Times New Roman" w:cs="Times New Roman"/>
          <w:i/>
          <w:sz w:val="24"/>
          <w:szCs w:val="24"/>
        </w:rPr>
      </w:pPr>
      <w:r w:rsidRPr="000A5C82">
        <w:rPr>
          <w:rFonts w:ascii="Times New Roman" w:hAnsi="Times New Roman" w:cs="Times New Roman"/>
          <w:i/>
          <w:sz w:val="24"/>
          <w:szCs w:val="24"/>
        </w:rPr>
        <w:t xml:space="preserve">Научный руководитель: канд. </w:t>
      </w:r>
      <w:proofErr w:type="spellStart"/>
      <w:r w:rsidRPr="000A5C82">
        <w:rPr>
          <w:rFonts w:ascii="Times New Roman" w:hAnsi="Times New Roman" w:cs="Times New Roman"/>
          <w:i/>
          <w:sz w:val="24"/>
          <w:szCs w:val="24"/>
        </w:rPr>
        <w:t>техн</w:t>
      </w:r>
      <w:proofErr w:type="spellEnd"/>
      <w:r w:rsidRPr="000A5C82">
        <w:rPr>
          <w:rFonts w:ascii="Times New Roman" w:hAnsi="Times New Roman" w:cs="Times New Roman"/>
          <w:i/>
          <w:sz w:val="24"/>
          <w:szCs w:val="24"/>
        </w:rPr>
        <w:t xml:space="preserve">. наук, доцент </w:t>
      </w:r>
      <w:proofErr w:type="spellStart"/>
      <w:r w:rsidR="007D20B2" w:rsidRPr="000A5C82">
        <w:rPr>
          <w:rFonts w:ascii="Times New Roman" w:hAnsi="Times New Roman" w:cs="Times New Roman"/>
          <w:i/>
          <w:sz w:val="24"/>
          <w:szCs w:val="24"/>
        </w:rPr>
        <w:t>Шистеев</w:t>
      </w:r>
      <w:proofErr w:type="spellEnd"/>
      <w:r w:rsidR="007D20B2" w:rsidRPr="000A5C82">
        <w:rPr>
          <w:rFonts w:ascii="Times New Roman" w:hAnsi="Times New Roman" w:cs="Times New Roman"/>
          <w:i/>
          <w:sz w:val="24"/>
          <w:szCs w:val="24"/>
        </w:rPr>
        <w:t xml:space="preserve"> А.В.</w:t>
      </w:r>
      <w:r w:rsidRPr="000A5C82">
        <w:rPr>
          <w:rFonts w:ascii="Times New Roman" w:hAnsi="Times New Roman" w:cs="Times New Roman"/>
          <w:i/>
          <w:sz w:val="24"/>
          <w:szCs w:val="24"/>
        </w:rPr>
        <w:t>, д-р</w:t>
      </w:r>
      <w:r w:rsidRPr="000A5C82">
        <w:rPr>
          <w:rFonts w:ascii="Times New Roman" w:hAnsi="Times New Roman" w:cs="Times New Roman"/>
          <w:i/>
          <w:sz w:val="24"/>
          <w:szCs w:val="24"/>
        </w:rPr>
        <w:t xml:space="preserve"> </w:t>
      </w:r>
      <w:proofErr w:type="spellStart"/>
      <w:r w:rsidRPr="000A5C82">
        <w:rPr>
          <w:rFonts w:ascii="Times New Roman" w:hAnsi="Times New Roman" w:cs="Times New Roman"/>
          <w:i/>
          <w:sz w:val="24"/>
          <w:szCs w:val="24"/>
        </w:rPr>
        <w:t>техн</w:t>
      </w:r>
      <w:proofErr w:type="spellEnd"/>
      <w:r w:rsidRPr="000A5C82">
        <w:rPr>
          <w:rFonts w:ascii="Times New Roman" w:hAnsi="Times New Roman" w:cs="Times New Roman"/>
          <w:i/>
          <w:sz w:val="24"/>
          <w:szCs w:val="24"/>
        </w:rPr>
        <w:t xml:space="preserve">. наук, </w:t>
      </w:r>
      <w:r w:rsidRPr="000A5C82">
        <w:rPr>
          <w:rFonts w:ascii="Times New Roman" w:hAnsi="Times New Roman" w:cs="Times New Roman"/>
          <w:i/>
          <w:sz w:val="24"/>
          <w:szCs w:val="24"/>
        </w:rPr>
        <w:t xml:space="preserve">профессор </w:t>
      </w:r>
      <w:proofErr w:type="spellStart"/>
      <w:r w:rsidR="007D20B2" w:rsidRPr="000A5C82">
        <w:rPr>
          <w:rFonts w:ascii="Times New Roman" w:hAnsi="Times New Roman" w:cs="Times New Roman"/>
          <w:i/>
          <w:sz w:val="24"/>
          <w:szCs w:val="24"/>
        </w:rPr>
        <w:t>Бураев</w:t>
      </w:r>
      <w:proofErr w:type="spellEnd"/>
      <w:r w:rsidR="007D20B2" w:rsidRPr="000A5C82">
        <w:rPr>
          <w:rFonts w:ascii="Times New Roman" w:hAnsi="Times New Roman" w:cs="Times New Roman"/>
          <w:i/>
          <w:sz w:val="24"/>
          <w:szCs w:val="24"/>
        </w:rPr>
        <w:t xml:space="preserve"> М.К.</w:t>
      </w:r>
    </w:p>
    <w:p w:rsidR="007D20B2" w:rsidRPr="007D20B2" w:rsidRDefault="007D20B2" w:rsidP="000A5C82">
      <w:pPr>
        <w:spacing w:after="0" w:line="240" w:lineRule="auto"/>
        <w:jc w:val="center"/>
        <w:rPr>
          <w:rFonts w:ascii="Times New Roman" w:hAnsi="Times New Roman" w:cs="Times New Roman"/>
          <w:i/>
          <w:sz w:val="24"/>
          <w:szCs w:val="24"/>
        </w:rPr>
      </w:pPr>
      <w:r w:rsidRPr="007D20B2">
        <w:rPr>
          <w:rFonts w:ascii="Times New Roman" w:hAnsi="Times New Roman" w:cs="Times New Roman"/>
          <w:i/>
          <w:sz w:val="24"/>
          <w:szCs w:val="24"/>
        </w:rPr>
        <w:t>Иркутский государственный аграрный университет имени А.А. Ежевского,</w:t>
      </w:r>
    </w:p>
    <w:p w:rsidR="007D20B2" w:rsidRDefault="00667234" w:rsidP="000A5C82">
      <w:pPr>
        <w:spacing w:after="0" w:line="240" w:lineRule="auto"/>
        <w:jc w:val="center"/>
        <w:rPr>
          <w:rFonts w:ascii="Times New Roman" w:hAnsi="Times New Roman" w:cs="Times New Roman"/>
          <w:i/>
          <w:sz w:val="24"/>
          <w:szCs w:val="24"/>
        </w:rPr>
      </w:pPr>
      <w:r w:rsidRPr="00667234">
        <w:rPr>
          <w:rFonts w:ascii="Times New Roman" w:hAnsi="Times New Roman" w:cs="Times New Roman"/>
          <w:i/>
          <w:sz w:val="24"/>
          <w:szCs w:val="24"/>
        </w:rPr>
        <w:t>инженерный факультет, Иркутск, Россия</w:t>
      </w:r>
    </w:p>
    <w:p w:rsidR="00667234" w:rsidRPr="00221502" w:rsidRDefault="00667234" w:rsidP="000A5C8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lang w:val="en-US"/>
        </w:rPr>
        <w:t>E</w:t>
      </w:r>
      <w:r w:rsidRPr="00221502">
        <w:rPr>
          <w:rFonts w:ascii="Times New Roman" w:hAnsi="Times New Roman" w:cs="Times New Roman"/>
          <w:i/>
          <w:sz w:val="24"/>
          <w:szCs w:val="24"/>
        </w:rPr>
        <w:t>-</w:t>
      </w:r>
      <w:r>
        <w:rPr>
          <w:rFonts w:ascii="Times New Roman" w:hAnsi="Times New Roman" w:cs="Times New Roman"/>
          <w:i/>
          <w:sz w:val="24"/>
          <w:szCs w:val="24"/>
          <w:lang w:val="en-US"/>
        </w:rPr>
        <w:t>mail</w:t>
      </w:r>
      <w:r w:rsidRPr="00221502">
        <w:rPr>
          <w:rFonts w:ascii="Times New Roman" w:hAnsi="Times New Roman" w:cs="Times New Roman"/>
          <w:i/>
          <w:sz w:val="24"/>
          <w:szCs w:val="24"/>
        </w:rPr>
        <w:t xml:space="preserve">: </w:t>
      </w:r>
      <w:hyperlink r:id="rId5" w:history="1">
        <w:r w:rsidRPr="00D43C60">
          <w:rPr>
            <w:rStyle w:val="a3"/>
            <w:rFonts w:ascii="Times New Roman" w:hAnsi="Times New Roman" w:cs="Times New Roman"/>
            <w:i/>
            <w:sz w:val="24"/>
            <w:szCs w:val="24"/>
            <w:lang w:val="en-US"/>
          </w:rPr>
          <w:t>drive</w:t>
        </w:r>
        <w:r w:rsidRPr="00221502">
          <w:rPr>
            <w:rStyle w:val="a3"/>
            <w:rFonts w:ascii="Times New Roman" w:hAnsi="Times New Roman" w:cs="Times New Roman"/>
            <w:i/>
            <w:sz w:val="24"/>
            <w:szCs w:val="24"/>
          </w:rPr>
          <w:t>-</w:t>
        </w:r>
        <w:r w:rsidRPr="00D43C60">
          <w:rPr>
            <w:rStyle w:val="a3"/>
            <w:rFonts w:ascii="Times New Roman" w:hAnsi="Times New Roman" w:cs="Times New Roman"/>
            <w:i/>
            <w:sz w:val="24"/>
            <w:szCs w:val="24"/>
            <w:lang w:val="en-US"/>
          </w:rPr>
          <w:t>er</w:t>
        </w:r>
        <w:r w:rsidRPr="00221502">
          <w:rPr>
            <w:rStyle w:val="a3"/>
            <w:rFonts w:ascii="Times New Roman" w:hAnsi="Times New Roman" w:cs="Times New Roman"/>
            <w:i/>
            <w:sz w:val="24"/>
            <w:szCs w:val="24"/>
          </w:rPr>
          <w:t>@</w:t>
        </w:r>
        <w:r w:rsidRPr="00D43C60">
          <w:rPr>
            <w:rStyle w:val="a3"/>
            <w:rFonts w:ascii="Times New Roman" w:hAnsi="Times New Roman" w:cs="Times New Roman"/>
            <w:i/>
            <w:sz w:val="24"/>
            <w:szCs w:val="24"/>
            <w:lang w:val="en-US"/>
          </w:rPr>
          <w:t>yandex</w:t>
        </w:r>
        <w:r w:rsidRPr="00221502">
          <w:rPr>
            <w:rStyle w:val="a3"/>
            <w:rFonts w:ascii="Times New Roman" w:hAnsi="Times New Roman" w:cs="Times New Roman"/>
            <w:i/>
            <w:sz w:val="24"/>
            <w:szCs w:val="24"/>
          </w:rPr>
          <w:t>.</w:t>
        </w:r>
        <w:proofErr w:type="spellStart"/>
        <w:r w:rsidRPr="00D43C60">
          <w:rPr>
            <w:rStyle w:val="a3"/>
            <w:rFonts w:ascii="Times New Roman" w:hAnsi="Times New Roman" w:cs="Times New Roman"/>
            <w:i/>
            <w:sz w:val="24"/>
            <w:szCs w:val="24"/>
            <w:lang w:val="en-US"/>
          </w:rPr>
          <w:t>ru</w:t>
        </w:r>
        <w:proofErr w:type="spellEnd"/>
      </w:hyperlink>
    </w:p>
    <w:p w:rsidR="00667234" w:rsidRPr="00221502" w:rsidRDefault="00667234" w:rsidP="00667234">
      <w:pPr>
        <w:spacing w:line="240" w:lineRule="auto"/>
        <w:jc w:val="both"/>
        <w:rPr>
          <w:rFonts w:ascii="Times New Roman" w:hAnsi="Times New Roman" w:cs="Times New Roman"/>
          <w:sz w:val="24"/>
          <w:szCs w:val="24"/>
        </w:rPr>
      </w:pPr>
      <w:bookmarkStart w:id="0" w:name="_GoBack"/>
      <w:bookmarkEnd w:id="0"/>
    </w:p>
    <w:p w:rsidR="00667234" w:rsidRPr="00667234" w:rsidRDefault="00667234" w:rsidP="00556131">
      <w:pPr>
        <w:spacing w:after="0" w:line="240" w:lineRule="auto"/>
        <w:ind w:firstLine="426"/>
        <w:jc w:val="both"/>
        <w:rPr>
          <w:rFonts w:ascii="Times New Roman" w:eastAsia="Calibri" w:hAnsi="Times New Roman" w:cs="Times New Roman"/>
          <w:sz w:val="24"/>
          <w:szCs w:val="24"/>
          <w:lang w:eastAsia="ru-RU"/>
        </w:rPr>
      </w:pPr>
      <w:r w:rsidRPr="00667234">
        <w:rPr>
          <w:rFonts w:ascii="Times New Roman" w:eastAsia="Calibri" w:hAnsi="Times New Roman" w:cs="Times New Roman"/>
          <w:sz w:val="24"/>
          <w:szCs w:val="24"/>
          <w:lang w:eastAsia="ru-RU"/>
        </w:rPr>
        <w:t>В настоящее время, наиболее экономичными и быстрыми решениями проблемы обеспечения работоспособности машин на предприятиях агропромышленного комплекса являются способы собственного, внутреннего изготовления и восстановления ресурса деталей сельхозмашин на российских предприятиях [</w:t>
      </w:r>
      <w:r w:rsidR="00556131">
        <w:rPr>
          <w:rFonts w:ascii="Times New Roman" w:eastAsia="Calibri" w:hAnsi="Times New Roman" w:cs="Times New Roman"/>
          <w:sz w:val="24"/>
          <w:szCs w:val="24"/>
          <w:lang w:eastAsia="ru-RU"/>
        </w:rPr>
        <w:t>1, 3</w:t>
      </w:r>
      <w:r w:rsidRPr="00667234">
        <w:rPr>
          <w:rFonts w:ascii="Times New Roman" w:eastAsia="Calibri" w:hAnsi="Times New Roman" w:cs="Times New Roman"/>
          <w:sz w:val="24"/>
          <w:szCs w:val="24"/>
          <w:lang w:eastAsia="ru-RU"/>
        </w:rPr>
        <w:t xml:space="preserve">], а также сохранение работоспособности тракторов и машин путем организации бесперебойных поставок запасных частей со складов – из числа обменного фонда обслуживающих предприятий технического сервиса. Конечно же, для крупных дилерских организаций обменный фонд должен представлять собой перечень, включающий до нескольких десятков тысяч наименований разнообразных запасных частей. Для внутренних же фондов предприятий, непосредственно занимающихся производством сельскохозяйственной продукции </w:t>
      </w:r>
      <w:proofErr w:type="gramStart"/>
      <w:r w:rsidRPr="00667234">
        <w:rPr>
          <w:rFonts w:ascii="Times New Roman" w:eastAsia="Calibri" w:hAnsi="Times New Roman" w:cs="Times New Roman"/>
          <w:sz w:val="24"/>
          <w:szCs w:val="24"/>
          <w:lang w:eastAsia="ru-RU"/>
        </w:rPr>
        <w:t>количественный состав фонда</w:t>
      </w:r>
      <w:proofErr w:type="gramEnd"/>
      <w:r w:rsidRPr="00667234">
        <w:rPr>
          <w:rFonts w:ascii="Times New Roman" w:eastAsia="Calibri" w:hAnsi="Times New Roman" w:cs="Times New Roman"/>
          <w:sz w:val="24"/>
          <w:szCs w:val="24"/>
          <w:lang w:eastAsia="ru-RU"/>
        </w:rPr>
        <w:t xml:space="preserve"> будет зависеть от общей оснащенности организации техническими средствами, в том числе комбайнами, тракторами и автомобилями</w:t>
      </w:r>
      <w:r w:rsidR="00556131">
        <w:rPr>
          <w:rFonts w:ascii="Times New Roman" w:eastAsia="Calibri" w:hAnsi="Times New Roman" w:cs="Times New Roman"/>
          <w:sz w:val="24"/>
          <w:szCs w:val="24"/>
          <w:lang w:eastAsia="ru-RU"/>
        </w:rPr>
        <w:t xml:space="preserve"> </w:t>
      </w:r>
      <w:r w:rsidR="00556131" w:rsidRPr="00556131">
        <w:rPr>
          <w:rFonts w:ascii="Times New Roman" w:eastAsia="Calibri" w:hAnsi="Times New Roman" w:cs="Times New Roman"/>
          <w:sz w:val="24"/>
          <w:szCs w:val="24"/>
          <w:lang w:eastAsia="ru-RU"/>
        </w:rPr>
        <w:t>[2]</w:t>
      </w:r>
      <w:r w:rsidRPr="00667234">
        <w:rPr>
          <w:rFonts w:ascii="Times New Roman" w:eastAsia="Calibri" w:hAnsi="Times New Roman" w:cs="Times New Roman"/>
          <w:sz w:val="24"/>
          <w:szCs w:val="24"/>
          <w:lang w:eastAsia="ru-RU"/>
        </w:rPr>
        <w:t>.</w:t>
      </w:r>
    </w:p>
    <w:p w:rsidR="00667234" w:rsidRPr="00667234" w:rsidRDefault="00667234" w:rsidP="00556131">
      <w:pPr>
        <w:spacing w:after="0" w:line="240" w:lineRule="auto"/>
        <w:ind w:firstLine="426"/>
        <w:jc w:val="both"/>
        <w:rPr>
          <w:rFonts w:ascii="Times New Roman" w:eastAsia="Calibri" w:hAnsi="Times New Roman" w:cs="Times New Roman"/>
          <w:sz w:val="24"/>
          <w:szCs w:val="24"/>
          <w:lang w:eastAsia="ru-RU"/>
        </w:rPr>
      </w:pPr>
      <w:r w:rsidRPr="00667234">
        <w:rPr>
          <w:rFonts w:ascii="Times New Roman" w:eastAsia="Calibri" w:hAnsi="Times New Roman" w:cs="Times New Roman"/>
          <w:sz w:val="24"/>
          <w:szCs w:val="24"/>
          <w:lang w:eastAsia="ru-RU"/>
        </w:rPr>
        <w:t>Цель работы. Теоретическое обоснование необходимости наличия запасных частей и ремонтных материалов в обменном фонде для своевременного устранения простоев тракторов и машин на предприятиях агропромышленного комплекса.</w:t>
      </w:r>
    </w:p>
    <w:p w:rsidR="00667234" w:rsidRPr="00667234" w:rsidRDefault="00667234" w:rsidP="00556131">
      <w:pPr>
        <w:spacing w:after="0" w:line="240" w:lineRule="auto"/>
        <w:ind w:firstLine="426"/>
        <w:jc w:val="both"/>
        <w:rPr>
          <w:rFonts w:ascii="Times New Roman" w:eastAsia="Calibri" w:hAnsi="Times New Roman" w:cs="Times New Roman"/>
          <w:sz w:val="24"/>
          <w:szCs w:val="24"/>
          <w:lang w:eastAsia="ru-RU"/>
        </w:rPr>
      </w:pPr>
      <w:r w:rsidRPr="00667234">
        <w:rPr>
          <w:rFonts w:ascii="Times New Roman" w:eastAsia="Calibri" w:hAnsi="Times New Roman" w:cs="Times New Roman"/>
          <w:sz w:val="24"/>
          <w:szCs w:val="24"/>
          <w:lang w:eastAsia="ru-RU"/>
        </w:rPr>
        <w:t>Методы исследования. В качестве основных исходных данных для формирования обменного фонда являются статистические данные об отказах и восстановлениях тракторов</w:t>
      </w:r>
      <w:r w:rsidR="00D218FA">
        <w:rPr>
          <w:rFonts w:ascii="Times New Roman" w:eastAsia="Calibri" w:hAnsi="Times New Roman" w:cs="Times New Roman"/>
          <w:sz w:val="24"/>
          <w:szCs w:val="24"/>
          <w:lang w:eastAsia="ru-RU"/>
        </w:rPr>
        <w:t xml:space="preserve"> и</w:t>
      </w:r>
      <w:r w:rsidRPr="00667234">
        <w:rPr>
          <w:rFonts w:ascii="Times New Roman" w:eastAsia="Calibri" w:hAnsi="Times New Roman" w:cs="Times New Roman"/>
          <w:sz w:val="24"/>
          <w:szCs w:val="24"/>
          <w:lang w:eastAsia="ru-RU"/>
        </w:rPr>
        <w:t xml:space="preserve"> машин для сельскохозяйственного производства. Поставленная в работе цель достигается путем применения классических методов теории массового обслуживания, принимая условие о том, что потоки заявок на ремонты тракторов и машин являются простейшими логистическими цепями.</w:t>
      </w:r>
      <w:r w:rsidR="00D218FA">
        <w:rPr>
          <w:rFonts w:ascii="Times New Roman" w:eastAsia="Calibri" w:hAnsi="Times New Roman" w:cs="Times New Roman"/>
          <w:sz w:val="24"/>
          <w:szCs w:val="24"/>
          <w:lang w:eastAsia="ru-RU"/>
        </w:rPr>
        <w:t xml:space="preserve"> </w:t>
      </w:r>
      <w:r w:rsidRPr="00667234">
        <w:rPr>
          <w:rFonts w:ascii="Times New Roman" w:eastAsia="Calibri" w:hAnsi="Times New Roman" w:cs="Times New Roman"/>
          <w:sz w:val="24"/>
          <w:szCs w:val="24"/>
          <w:lang w:eastAsia="ru-RU"/>
        </w:rPr>
        <w:t>Возможность применения такого подхода подтверждается результатами многочисленных статистических исследований по надежности машин, проведенными в разных регионах, в разных научных организациях.</w:t>
      </w:r>
    </w:p>
    <w:p w:rsidR="00667234" w:rsidRPr="00667234" w:rsidRDefault="00667234" w:rsidP="00556131">
      <w:pPr>
        <w:spacing w:after="0" w:line="240" w:lineRule="auto"/>
        <w:ind w:firstLine="426"/>
        <w:jc w:val="both"/>
        <w:rPr>
          <w:rFonts w:ascii="Times New Roman" w:eastAsia="Calibri" w:hAnsi="Times New Roman" w:cs="Times New Roman"/>
          <w:sz w:val="24"/>
          <w:szCs w:val="24"/>
          <w:lang w:eastAsia="ru-RU"/>
        </w:rPr>
      </w:pPr>
      <w:r w:rsidRPr="00667234">
        <w:rPr>
          <w:rFonts w:ascii="Times New Roman" w:eastAsia="Calibri" w:hAnsi="Times New Roman" w:cs="Times New Roman"/>
          <w:sz w:val="24"/>
          <w:szCs w:val="24"/>
          <w:lang w:eastAsia="ru-RU"/>
        </w:rPr>
        <w:t>Материалы и обсуждение. По определению запасные части – это новые или восстановленные агрегаты, узлы машин и их элементы, предназначенные для замены соответствующих изношенных частей, при этом, спрос на запасные части растет в зависимости от условий эксплуатации</w:t>
      </w:r>
      <w:r w:rsidR="00556131" w:rsidRPr="00556131">
        <w:rPr>
          <w:rFonts w:ascii="Times New Roman" w:eastAsia="Calibri" w:hAnsi="Times New Roman" w:cs="Times New Roman"/>
          <w:sz w:val="24"/>
          <w:szCs w:val="24"/>
          <w:lang w:eastAsia="ru-RU"/>
        </w:rPr>
        <w:t xml:space="preserve"> [</w:t>
      </w:r>
      <w:r w:rsidR="00556131">
        <w:rPr>
          <w:rFonts w:ascii="Times New Roman" w:eastAsia="Calibri" w:hAnsi="Times New Roman" w:cs="Times New Roman"/>
          <w:sz w:val="24"/>
          <w:szCs w:val="24"/>
          <w:lang w:eastAsia="ru-RU"/>
        </w:rPr>
        <w:t>4</w:t>
      </w:r>
      <w:r w:rsidR="00556131" w:rsidRPr="00556131">
        <w:rPr>
          <w:rFonts w:ascii="Times New Roman" w:eastAsia="Calibri" w:hAnsi="Times New Roman" w:cs="Times New Roman"/>
          <w:sz w:val="24"/>
          <w:szCs w:val="24"/>
          <w:lang w:eastAsia="ru-RU"/>
        </w:rPr>
        <w:t>, 5]</w:t>
      </w:r>
      <w:r w:rsidRPr="00667234">
        <w:rPr>
          <w:rFonts w:ascii="Times New Roman" w:eastAsia="Calibri" w:hAnsi="Times New Roman" w:cs="Times New Roman"/>
          <w:sz w:val="24"/>
          <w:szCs w:val="24"/>
          <w:lang w:eastAsia="ru-RU"/>
        </w:rPr>
        <w:t xml:space="preserve">. Так каждая деталь нуждается в замене неодновременно, например, одна через несколько тысяч километров пробега, другая через некоторое количество </w:t>
      </w:r>
      <w:proofErr w:type="spellStart"/>
      <w:r w:rsidRPr="00667234">
        <w:rPr>
          <w:rFonts w:ascii="Times New Roman" w:eastAsia="Calibri" w:hAnsi="Times New Roman" w:cs="Times New Roman"/>
          <w:sz w:val="24"/>
          <w:szCs w:val="24"/>
          <w:lang w:eastAsia="ru-RU"/>
        </w:rPr>
        <w:t>мото</w:t>
      </w:r>
      <w:proofErr w:type="spellEnd"/>
      <w:r w:rsidRPr="00667234">
        <w:rPr>
          <w:rFonts w:ascii="Times New Roman" w:eastAsia="Calibri" w:hAnsi="Times New Roman" w:cs="Times New Roman"/>
          <w:sz w:val="24"/>
          <w:szCs w:val="24"/>
          <w:lang w:eastAsia="ru-RU"/>
        </w:rPr>
        <w:t xml:space="preserve">-часов, третья по достижении предельного ресурса, а некоторые – при аварии или внезапном отказе. В связи с этим, необходимое точное </w:t>
      </w:r>
      <w:r w:rsidRPr="00667234">
        <w:rPr>
          <w:rFonts w:ascii="Times New Roman" w:eastAsia="Calibri" w:hAnsi="Times New Roman" w:cs="Times New Roman"/>
          <w:sz w:val="24"/>
          <w:szCs w:val="24"/>
          <w:lang w:eastAsia="ru-RU"/>
        </w:rPr>
        <w:lastRenderedPageBreak/>
        <w:t>количество и номенклатура деталей, узлов и агрегатов с указанием их каталожных номеров могут быть получены на практике только путем проведения наблюдений, последующей обработки информации и статистического анализа.</w:t>
      </w:r>
    </w:p>
    <w:p w:rsidR="00667234" w:rsidRPr="00667234" w:rsidRDefault="00667234" w:rsidP="00556131">
      <w:pPr>
        <w:spacing w:after="0" w:line="240" w:lineRule="auto"/>
        <w:ind w:firstLine="426"/>
        <w:jc w:val="both"/>
        <w:rPr>
          <w:rFonts w:ascii="Times New Roman" w:eastAsia="Calibri" w:hAnsi="Times New Roman" w:cs="Times New Roman"/>
          <w:sz w:val="24"/>
          <w:szCs w:val="24"/>
          <w:lang w:eastAsia="ru-RU"/>
        </w:rPr>
      </w:pPr>
      <w:r w:rsidRPr="00667234">
        <w:rPr>
          <w:rFonts w:ascii="Times New Roman" w:eastAsia="Calibri" w:hAnsi="Times New Roman" w:cs="Times New Roman"/>
          <w:sz w:val="24"/>
          <w:szCs w:val="24"/>
          <w:lang w:eastAsia="ru-RU"/>
        </w:rPr>
        <w:t>В регионах большую часть мелких предприятий представляют типичные мелкооптовые и розничные потребители запасных частей – подсобные, крестьянско-фермерские хозяйства и небольшие коммерческие организации. При этом, их спрос ориентирован не только на товарные рынки, но и на сеть дилеров различных фирм, производящих машины и оборудование, как отечественного, так и импортного производства.</w:t>
      </w:r>
      <w:r w:rsidR="00D218FA">
        <w:rPr>
          <w:rFonts w:ascii="Times New Roman" w:eastAsia="Calibri" w:hAnsi="Times New Roman" w:cs="Times New Roman"/>
          <w:sz w:val="24"/>
          <w:szCs w:val="24"/>
          <w:lang w:eastAsia="ru-RU"/>
        </w:rPr>
        <w:t xml:space="preserve"> В</w:t>
      </w:r>
      <w:r w:rsidRPr="00667234">
        <w:rPr>
          <w:rFonts w:ascii="Times New Roman" w:eastAsia="Calibri" w:hAnsi="Times New Roman" w:cs="Times New Roman"/>
          <w:sz w:val="24"/>
          <w:szCs w:val="24"/>
          <w:lang w:eastAsia="ru-RU"/>
        </w:rPr>
        <w:t xml:space="preserve"> связи с чем, именно базы дилерских организаций должны выступать в роли площадок для размещения мощностей обменных фондов.</w:t>
      </w:r>
    </w:p>
    <w:p w:rsidR="00667234" w:rsidRPr="00667234" w:rsidRDefault="00667234" w:rsidP="00556131">
      <w:pPr>
        <w:spacing w:after="0" w:line="240" w:lineRule="auto"/>
        <w:ind w:firstLine="426"/>
        <w:jc w:val="both"/>
        <w:rPr>
          <w:rFonts w:ascii="Times New Roman" w:eastAsia="Calibri" w:hAnsi="Times New Roman" w:cs="Times New Roman"/>
          <w:sz w:val="24"/>
          <w:szCs w:val="24"/>
          <w:lang w:eastAsia="ru-RU"/>
        </w:rPr>
      </w:pPr>
      <w:r w:rsidRPr="00667234">
        <w:rPr>
          <w:rFonts w:ascii="Times New Roman" w:eastAsia="Calibri" w:hAnsi="Times New Roman" w:cs="Times New Roman"/>
          <w:sz w:val="24"/>
          <w:szCs w:val="24"/>
          <w:lang w:eastAsia="ru-RU"/>
        </w:rPr>
        <w:t>Как правило, требуемое число сборочных единиц обменного фонда для отдельно взятого хозяйства вычисляют по упрощенной формуле[9]:</w:t>
      </w:r>
    </w:p>
    <w:p w:rsidR="00667234" w:rsidRPr="00667234" w:rsidRDefault="000A5C82" w:rsidP="00667234">
      <w:pPr>
        <w:spacing w:after="0" w:line="240" w:lineRule="auto"/>
        <w:jc w:val="right"/>
        <w:rPr>
          <w:rFonts w:ascii="Times New Roman" w:eastAsia="Calibri" w:hAnsi="Times New Roman" w:cs="Times New Roman"/>
          <w:sz w:val="28"/>
          <w:szCs w:val="24"/>
          <w:lang w:eastAsia="ru-RU"/>
        </w:rPr>
      </w:pPr>
      <m:oMath>
        <m:sSub>
          <m:sSubPr>
            <m:ctrlPr>
              <w:rPr>
                <w:rFonts w:ascii="Cambria Math" w:eastAsia="Calibri" w:hAnsi="Cambria Math" w:cs="Times New Roman"/>
                <w:i/>
                <w:sz w:val="24"/>
                <w:szCs w:val="24"/>
                <w:lang w:eastAsia="ru-RU"/>
              </w:rPr>
            </m:ctrlPr>
          </m:sSubPr>
          <m:e>
            <m:r>
              <w:rPr>
                <w:rFonts w:ascii="Cambria Math" w:eastAsia="Calibri" w:hAnsi="Cambria Math" w:cs="Times New Roman"/>
                <w:sz w:val="24"/>
                <w:szCs w:val="24"/>
                <w:lang w:eastAsia="ru-RU"/>
              </w:rPr>
              <m:t>n</m:t>
            </m:r>
          </m:e>
          <m:sub>
            <m:r>
              <w:rPr>
                <w:rFonts w:ascii="Cambria Math" w:eastAsia="Calibri" w:hAnsi="Cambria Math" w:cs="Times New Roman"/>
                <w:sz w:val="24"/>
                <w:szCs w:val="24"/>
                <w:lang w:eastAsia="ru-RU"/>
              </w:rPr>
              <m:t>оф</m:t>
            </m:r>
          </m:sub>
        </m:sSub>
        <m:r>
          <w:rPr>
            <w:rFonts w:ascii="Cambria Math" w:eastAsia="Calibri" w:hAnsi="Cambria Math" w:cs="Times New Roman"/>
            <w:sz w:val="24"/>
            <w:szCs w:val="24"/>
            <w:lang w:eastAsia="ru-RU"/>
          </w:rPr>
          <m:t>=</m:t>
        </m:r>
        <m:f>
          <m:fPr>
            <m:ctrlPr>
              <w:rPr>
                <w:rFonts w:ascii="Cambria Math" w:eastAsia="Calibri" w:hAnsi="Cambria Math" w:cs="Times New Roman"/>
                <w:i/>
                <w:sz w:val="24"/>
                <w:szCs w:val="24"/>
                <w:lang w:eastAsia="ru-RU"/>
              </w:rPr>
            </m:ctrlPr>
          </m:fPr>
          <m:num>
            <m:r>
              <w:rPr>
                <w:rFonts w:ascii="Cambria Math" w:eastAsia="Calibri" w:hAnsi="Cambria Math" w:cs="Times New Roman"/>
                <w:sz w:val="24"/>
                <w:szCs w:val="24"/>
                <w:lang w:val="en-US" w:eastAsia="ru-RU"/>
              </w:rPr>
              <m:t>mρ</m:t>
            </m:r>
            <m:sSub>
              <m:sSubPr>
                <m:ctrlPr>
                  <w:rPr>
                    <w:rFonts w:ascii="Cambria Math" w:eastAsia="Calibri" w:hAnsi="Cambria Math" w:cs="Times New Roman"/>
                    <w:i/>
                    <w:sz w:val="24"/>
                    <w:szCs w:val="24"/>
                    <w:lang w:val="en-US" w:eastAsia="ru-RU"/>
                  </w:rPr>
                </m:ctrlPr>
              </m:sSubPr>
              <m:e>
                <m:r>
                  <w:rPr>
                    <w:rFonts w:ascii="Cambria Math" w:eastAsia="Calibri" w:hAnsi="Cambria Math" w:cs="Times New Roman"/>
                    <w:sz w:val="24"/>
                    <w:szCs w:val="24"/>
                    <w:lang w:eastAsia="ru-RU"/>
                  </w:rPr>
                  <m:t>Т</m:t>
                </m:r>
              </m:e>
              <m:sub>
                <m:r>
                  <w:rPr>
                    <w:rFonts w:ascii="Cambria Math" w:eastAsia="Calibri" w:hAnsi="Cambria Math" w:cs="Times New Roman"/>
                    <w:sz w:val="24"/>
                    <w:szCs w:val="24"/>
                    <w:lang w:eastAsia="ru-RU"/>
                  </w:rPr>
                  <m:t>в</m:t>
                </m:r>
              </m:sub>
            </m:sSub>
            <m:sSub>
              <m:sSubPr>
                <m:ctrlPr>
                  <w:rPr>
                    <w:rFonts w:ascii="Cambria Math" w:eastAsia="Calibri" w:hAnsi="Cambria Math" w:cs="Times New Roman"/>
                    <w:i/>
                    <w:sz w:val="24"/>
                    <w:szCs w:val="24"/>
                    <w:lang w:val="en-US" w:eastAsia="ru-RU"/>
                  </w:rPr>
                </m:ctrlPr>
              </m:sSubPr>
              <m:e>
                <m:r>
                  <w:rPr>
                    <w:rFonts w:ascii="Cambria Math" w:eastAsia="Calibri" w:hAnsi="Cambria Math" w:cs="Times New Roman"/>
                    <w:sz w:val="24"/>
                    <w:szCs w:val="24"/>
                    <w:lang w:eastAsia="ru-RU"/>
                  </w:rPr>
                  <m:t>К</m:t>
                </m:r>
              </m:e>
              <m:sub>
                <m:r>
                  <w:rPr>
                    <w:rFonts w:ascii="Cambria Math" w:eastAsia="Calibri" w:hAnsi="Cambria Math" w:cs="Times New Roman"/>
                    <w:sz w:val="24"/>
                    <w:szCs w:val="24"/>
                    <w:lang w:eastAsia="ru-RU"/>
                  </w:rPr>
                  <m:t>н</m:t>
                </m:r>
              </m:sub>
            </m:sSub>
          </m:num>
          <m:den>
            <m:sSub>
              <m:sSubPr>
                <m:ctrlPr>
                  <w:rPr>
                    <w:rFonts w:ascii="Cambria Math" w:eastAsia="Calibri" w:hAnsi="Cambria Math" w:cs="Times New Roman"/>
                    <w:i/>
                    <w:sz w:val="24"/>
                    <w:szCs w:val="24"/>
                    <w:lang w:eastAsia="ru-RU"/>
                  </w:rPr>
                </m:ctrlPr>
              </m:sSubPr>
              <m:e>
                <m:r>
                  <w:rPr>
                    <w:rFonts w:ascii="Cambria Math" w:eastAsia="Calibri" w:hAnsi="Cambria Math" w:cs="Times New Roman"/>
                    <w:sz w:val="24"/>
                    <w:szCs w:val="24"/>
                    <w:lang w:eastAsia="ru-RU"/>
                  </w:rPr>
                  <m:t>Т</m:t>
                </m:r>
              </m:e>
              <m:sub>
                <m:r>
                  <w:rPr>
                    <w:rFonts w:ascii="Cambria Math" w:eastAsia="Calibri" w:hAnsi="Cambria Math" w:cs="Times New Roman"/>
                    <w:sz w:val="24"/>
                    <w:szCs w:val="24"/>
                    <w:lang w:eastAsia="ru-RU"/>
                  </w:rPr>
                  <m:t>ср</m:t>
                </m:r>
              </m:sub>
            </m:sSub>
          </m:den>
        </m:f>
      </m:oMath>
      <w:r w:rsidR="00667234" w:rsidRPr="00667234">
        <w:rPr>
          <w:rFonts w:ascii="Times New Roman" w:eastAsia="Calibri" w:hAnsi="Times New Roman" w:cs="Times New Roman"/>
          <w:sz w:val="24"/>
          <w:szCs w:val="24"/>
          <w:lang w:eastAsia="ru-RU"/>
        </w:rPr>
        <w:t xml:space="preserve">                                                                (1)</w:t>
      </w:r>
    </w:p>
    <w:p w:rsidR="00667234" w:rsidRPr="00667234" w:rsidRDefault="00D218FA" w:rsidP="0066723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w:t>
      </w:r>
      <w:r w:rsidR="00667234" w:rsidRPr="00667234">
        <w:rPr>
          <w:rFonts w:ascii="Times New Roman" w:eastAsia="Calibri" w:hAnsi="Times New Roman" w:cs="Times New Roman"/>
          <w:sz w:val="24"/>
          <w:szCs w:val="24"/>
          <w:lang w:eastAsia="ru-RU"/>
        </w:rPr>
        <w:t xml:space="preserve">де </w:t>
      </w:r>
      <w:r w:rsidR="00667234" w:rsidRPr="00667234">
        <w:rPr>
          <w:rFonts w:ascii="Times New Roman" w:eastAsia="Calibri" w:hAnsi="Times New Roman" w:cs="Times New Roman"/>
          <w:i/>
          <w:sz w:val="24"/>
          <w:szCs w:val="24"/>
          <w:lang w:val="en-US" w:eastAsia="ru-RU"/>
        </w:rPr>
        <w:t>m</w:t>
      </w:r>
      <w:r w:rsidR="00667234" w:rsidRPr="00667234">
        <w:rPr>
          <w:rFonts w:ascii="Times New Roman" w:eastAsia="Calibri" w:hAnsi="Times New Roman" w:cs="Times New Roman"/>
          <w:sz w:val="24"/>
          <w:szCs w:val="24"/>
          <w:lang w:eastAsia="ru-RU"/>
        </w:rPr>
        <w:t xml:space="preserve"> – число машин, на которых устанавливаются данные сборочные единицы; </w:t>
      </w:r>
      <w:r w:rsidR="00667234" w:rsidRPr="00667234">
        <w:rPr>
          <w:rFonts w:ascii="Times New Roman" w:eastAsia="Calibri" w:hAnsi="Times New Roman" w:cs="Times New Roman"/>
          <w:i/>
          <w:sz w:val="24"/>
          <w:szCs w:val="24"/>
          <w:lang w:eastAsia="ru-RU"/>
        </w:rPr>
        <w:t>ρ</w:t>
      </w:r>
      <w:r w:rsidR="00667234" w:rsidRPr="00667234">
        <w:rPr>
          <w:rFonts w:ascii="Times New Roman" w:eastAsia="Calibri" w:hAnsi="Times New Roman" w:cs="Times New Roman"/>
          <w:sz w:val="24"/>
          <w:szCs w:val="24"/>
          <w:lang w:eastAsia="ru-RU"/>
        </w:rPr>
        <w:t xml:space="preserve"> – число сборочных единиц на одну машину; </w:t>
      </w:r>
      <w:proofErr w:type="spellStart"/>
      <w:r w:rsidR="00667234" w:rsidRPr="00667234">
        <w:rPr>
          <w:rFonts w:ascii="Times New Roman" w:eastAsia="Calibri" w:hAnsi="Times New Roman" w:cs="Times New Roman"/>
          <w:sz w:val="24"/>
          <w:szCs w:val="24"/>
          <w:lang w:eastAsia="ru-RU"/>
        </w:rPr>
        <w:t>Т</w:t>
      </w:r>
      <w:r w:rsidR="00667234" w:rsidRPr="00667234">
        <w:rPr>
          <w:rFonts w:ascii="Times New Roman" w:eastAsia="Calibri" w:hAnsi="Times New Roman" w:cs="Times New Roman"/>
          <w:sz w:val="24"/>
          <w:szCs w:val="24"/>
          <w:vertAlign w:val="subscript"/>
          <w:lang w:eastAsia="ru-RU"/>
        </w:rPr>
        <w:t>в</w:t>
      </w:r>
      <w:proofErr w:type="spellEnd"/>
      <w:r w:rsidR="00667234" w:rsidRPr="00667234">
        <w:rPr>
          <w:rFonts w:ascii="Times New Roman" w:eastAsia="Calibri" w:hAnsi="Times New Roman" w:cs="Times New Roman"/>
          <w:sz w:val="24"/>
          <w:szCs w:val="24"/>
          <w:lang w:eastAsia="ru-RU"/>
        </w:rPr>
        <w:t xml:space="preserve"> – время полного восстановления сборочной единицы, включая время транспортировки; </w:t>
      </w:r>
      <w:proofErr w:type="spellStart"/>
      <w:r w:rsidR="00667234" w:rsidRPr="00667234">
        <w:rPr>
          <w:rFonts w:ascii="Times New Roman" w:eastAsia="Calibri" w:hAnsi="Times New Roman" w:cs="Times New Roman"/>
          <w:sz w:val="24"/>
          <w:szCs w:val="24"/>
          <w:lang w:eastAsia="ru-RU"/>
        </w:rPr>
        <w:t>К</w:t>
      </w:r>
      <w:r w:rsidR="00667234" w:rsidRPr="00667234">
        <w:rPr>
          <w:rFonts w:ascii="Times New Roman" w:eastAsia="Calibri" w:hAnsi="Times New Roman" w:cs="Times New Roman"/>
          <w:sz w:val="24"/>
          <w:szCs w:val="24"/>
          <w:vertAlign w:val="subscript"/>
          <w:lang w:eastAsia="ru-RU"/>
        </w:rPr>
        <w:t>н</w:t>
      </w:r>
      <w:proofErr w:type="spellEnd"/>
      <w:r w:rsidR="00667234" w:rsidRPr="00667234">
        <w:rPr>
          <w:rFonts w:ascii="Times New Roman" w:eastAsia="Calibri" w:hAnsi="Times New Roman" w:cs="Times New Roman"/>
          <w:sz w:val="24"/>
          <w:szCs w:val="24"/>
          <w:lang w:eastAsia="ru-RU"/>
        </w:rPr>
        <w:t xml:space="preserve"> – коэффициент, учитывающий отклонения от установленных сроков восстановления и других нормативов (</w:t>
      </w:r>
      <w:proofErr w:type="spellStart"/>
      <w:r w:rsidR="00667234" w:rsidRPr="00667234">
        <w:rPr>
          <w:rFonts w:ascii="Times New Roman" w:eastAsia="Calibri" w:hAnsi="Times New Roman" w:cs="Times New Roman"/>
          <w:sz w:val="24"/>
          <w:szCs w:val="24"/>
          <w:lang w:eastAsia="ru-RU"/>
        </w:rPr>
        <w:t>К</w:t>
      </w:r>
      <w:r w:rsidR="00667234" w:rsidRPr="00667234">
        <w:rPr>
          <w:rFonts w:ascii="Times New Roman" w:eastAsia="Calibri" w:hAnsi="Times New Roman" w:cs="Times New Roman"/>
          <w:sz w:val="24"/>
          <w:szCs w:val="24"/>
          <w:vertAlign w:val="subscript"/>
          <w:lang w:eastAsia="ru-RU"/>
        </w:rPr>
        <w:t>н</w:t>
      </w:r>
      <w:proofErr w:type="spellEnd"/>
      <w:r w:rsidR="00667234" w:rsidRPr="00667234">
        <w:rPr>
          <w:rFonts w:ascii="Times New Roman" w:eastAsia="Calibri" w:hAnsi="Times New Roman" w:cs="Times New Roman"/>
          <w:sz w:val="24"/>
          <w:szCs w:val="24"/>
          <w:lang w:eastAsia="ru-RU"/>
        </w:rPr>
        <w:t xml:space="preserve"> = 1,2...1,8; меньшие значения </w:t>
      </w:r>
      <w:proofErr w:type="spellStart"/>
      <w:r w:rsidR="00667234" w:rsidRPr="00667234">
        <w:rPr>
          <w:rFonts w:ascii="Times New Roman" w:eastAsia="Calibri" w:hAnsi="Times New Roman" w:cs="Times New Roman"/>
          <w:sz w:val="24"/>
          <w:szCs w:val="24"/>
          <w:lang w:eastAsia="ru-RU"/>
        </w:rPr>
        <w:t>Кн</w:t>
      </w:r>
      <w:proofErr w:type="spellEnd"/>
      <w:r w:rsidR="00667234" w:rsidRPr="00667234">
        <w:rPr>
          <w:rFonts w:ascii="Times New Roman" w:eastAsia="Calibri" w:hAnsi="Times New Roman" w:cs="Times New Roman"/>
          <w:sz w:val="24"/>
          <w:szCs w:val="24"/>
          <w:lang w:eastAsia="ru-RU"/>
        </w:rPr>
        <w:t xml:space="preserve"> принимают для крупных хозяйств и наоборот); </w:t>
      </w:r>
      <w:proofErr w:type="spellStart"/>
      <w:r w:rsidR="00667234" w:rsidRPr="00667234">
        <w:rPr>
          <w:rFonts w:ascii="Times New Roman" w:eastAsia="Calibri" w:hAnsi="Times New Roman" w:cs="Times New Roman"/>
          <w:sz w:val="24"/>
          <w:szCs w:val="24"/>
          <w:lang w:eastAsia="ru-RU"/>
        </w:rPr>
        <w:t>Т</w:t>
      </w:r>
      <w:r w:rsidR="00667234" w:rsidRPr="00667234">
        <w:rPr>
          <w:rFonts w:ascii="Times New Roman" w:eastAsia="Calibri" w:hAnsi="Times New Roman" w:cs="Times New Roman"/>
          <w:sz w:val="24"/>
          <w:szCs w:val="24"/>
          <w:vertAlign w:val="subscript"/>
          <w:lang w:eastAsia="ru-RU"/>
        </w:rPr>
        <w:t>ср</w:t>
      </w:r>
      <w:proofErr w:type="spellEnd"/>
      <w:r w:rsidR="00667234" w:rsidRPr="00667234">
        <w:rPr>
          <w:rFonts w:ascii="Times New Roman" w:eastAsia="Calibri" w:hAnsi="Times New Roman" w:cs="Times New Roman"/>
          <w:sz w:val="24"/>
          <w:szCs w:val="24"/>
          <w:lang w:eastAsia="ru-RU"/>
        </w:rPr>
        <w:t xml:space="preserve"> – средний срок работы сборочной единицы до замены.</w:t>
      </w:r>
    </w:p>
    <w:p w:rsidR="00667234" w:rsidRPr="00667234" w:rsidRDefault="00667234" w:rsidP="00667234">
      <w:pPr>
        <w:spacing w:after="0" w:line="240" w:lineRule="auto"/>
        <w:ind w:firstLine="709"/>
        <w:jc w:val="both"/>
        <w:rPr>
          <w:rFonts w:ascii="Times New Roman" w:eastAsia="Calibri" w:hAnsi="Times New Roman" w:cs="Times New Roman"/>
          <w:sz w:val="24"/>
          <w:szCs w:val="24"/>
          <w:lang w:eastAsia="ru-RU"/>
        </w:rPr>
      </w:pPr>
      <w:r w:rsidRPr="00667234">
        <w:rPr>
          <w:rFonts w:ascii="Times New Roman" w:eastAsia="Calibri" w:hAnsi="Times New Roman" w:cs="Times New Roman"/>
          <w:sz w:val="24"/>
          <w:szCs w:val="24"/>
          <w:lang w:eastAsia="ru-RU"/>
        </w:rPr>
        <w:t>Требуемое количество материалов на ремонт, техническое обслуживание и хранение машин рассчитывают по формуле:</w:t>
      </w:r>
    </w:p>
    <w:p w:rsidR="00667234" w:rsidRPr="00667234" w:rsidRDefault="000A5C82" w:rsidP="00667234">
      <w:pPr>
        <w:spacing w:after="0" w:line="240" w:lineRule="auto"/>
        <w:jc w:val="right"/>
        <w:rPr>
          <w:rFonts w:ascii="Times New Roman" w:eastAsia="Calibri" w:hAnsi="Times New Roman" w:cs="Times New Roman"/>
          <w:sz w:val="24"/>
          <w:szCs w:val="24"/>
          <w:lang w:eastAsia="ru-RU"/>
        </w:rPr>
      </w:pPr>
      <m:oMath>
        <m:sSub>
          <m:sSubPr>
            <m:ctrlPr>
              <w:rPr>
                <w:rFonts w:ascii="Cambria Math" w:eastAsia="Calibri" w:hAnsi="Cambria Math" w:cs="Times New Roman"/>
                <w:i/>
                <w:sz w:val="24"/>
                <w:szCs w:val="24"/>
                <w:lang w:val="en-US" w:eastAsia="ru-RU"/>
              </w:rPr>
            </m:ctrlPr>
          </m:sSubPr>
          <m:e>
            <m:r>
              <w:rPr>
                <w:rFonts w:ascii="Cambria Math" w:eastAsia="Calibri" w:hAnsi="Cambria Math" w:cs="Times New Roman"/>
                <w:sz w:val="24"/>
                <w:szCs w:val="24"/>
                <w:lang w:val="en-US" w:eastAsia="ru-RU"/>
              </w:rPr>
              <m:t>Q</m:t>
            </m:r>
          </m:e>
          <m:sub>
            <m:r>
              <w:rPr>
                <w:rFonts w:ascii="Cambria Math" w:eastAsia="Calibri" w:hAnsi="Cambria Math" w:cs="Times New Roman"/>
                <w:sz w:val="24"/>
                <w:szCs w:val="24"/>
                <w:lang w:eastAsia="ru-RU"/>
              </w:rPr>
              <m:t>м</m:t>
            </m:r>
          </m:sub>
        </m:sSub>
        <m:r>
          <w:rPr>
            <w:rFonts w:ascii="Cambria Math" w:eastAsia="Calibri" w:hAnsi="Cambria Math" w:cs="Times New Roman"/>
            <w:sz w:val="24"/>
            <w:szCs w:val="24"/>
            <w:lang w:eastAsia="ru-RU"/>
          </w:rPr>
          <m:t>=</m:t>
        </m:r>
        <m:sSub>
          <m:sSubPr>
            <m:ctrlPr>
              <w:rPr>
                <w:rFonts w:ascii="Cambria Math" w:eastAsia="Calibri" w:hAnsi="Cambria Math" w:cs="Times New Roman"/>
                <w:i/>
                <w:sz w:val="24"/>
                <w:szCs w:val="24"/>
                <w:lang w:eastAsia="ru-RU"/>
              </w:rPr>
            </m:ctrlPr>
          </m:sSubPr>
          <m:e>
            <m:r>
              <w:rPr>
                <w:rFonts w:ascii="Cambria Math" w:eastAsia="Calibri" w:hAnsi="Cambria Math" w:cs="Times New Roman"/>
                <w:sz w:val="24"/>
                <w:szCs w:val="24"/>
                <w:lang w:eastAsia="ru-RU"/>
              </w:rPr>
              <m:t>П</m:t>
            </m:r>
          </m:e>
          <m:sub>
            <m:r>
              <w:rPr>
                <w:rFonts w:ascii="Cambria Math" w:eastAsia="Calibri" w:hAnsi="Cambria Math" w:cs="Times New Roman"/>
                <w:sz w:val="24"/>
                <w:szCs w:val="24"/>
                <w:lang w:eastAsia="ru-RU"/>
              </w:rPr>
              <m:t>р</m:t>
            </m:r>
          </m:sub>
        </m:sSub>
        <m:sSub>
          <m:sSubPr>
            <m:ctrlPr>
              <w:rPr>
                <w:rFonts w:ascii="Cambria Math" w:eastAsia="Calibri" w:hAnsi="Cambria Math" w:cs="Times New Roman"/>
                <w:i/>
                <w:sz w:val="24"/>
                <w:szCs w:val="24"/>
                <w:lang w:eastAsia="ru-RU"/>
              </w:rPr>
            </m:ctrlPr>
          </m:sSubPr>
          <m:e>
            <m:r>
              <w:rPr>
                <w:rFonts w:ascii="Cambria Math" w:eastAsia="Calibri" w:hAnsi="Cambria Math" w:cs="Times New Roman"/>
                <w:sz w:val="24"/>
                <w:szCs w:val="24"/>
                <w:lang w:eastAsia="ru-RU"/>
              </w:rPr>
              <m:t>М</m:t>
            </m:r>
          </m:e>
          <m:sub>
            <m:r>
              <w:rPr>
                <w:rFonts w:ascii="Cambria Math" w:eastAsia="Calibri" w:hAnsi="Cambria Math" w:cs="Times New Roman"/>
                <w:sz w:val="24"/>
                <w:szCs w:val="24"/>
                <w:lang w:eastAsia="ru-RU"/>
              </w:rPr>
              <m:t>нм</m:t>
            </m:r>
          </m:sub>
        </m:sSub>
      </m:oMath>
      <w:r w:rsidR="00667234" w:rsidRPr="00667234">
        <w:rPr>
          <w:rFonts w:ascii="Times New Roman" w:eastAsia="Calibri" w:hAnsi="Times New Roman" w:cs="Times New Roman"/>
          <w:sz w:val="24"/>
          <w:szCs w:val="24"/>
          <w:lang w:eastAsia="ru-RU"/>
        </w:rPr>
        <w:t xml:space="preserve">                                                              (2)</w:t>
      </w:r>
    </w:p>
    <w:p w:rsidR="00667234" w:rsidRPr="00667234" w:rsidRDefault="00667234" w:rsidP="00556131">
      <w:pPr>
        <w:spacing w:after="0" w:line="240" w:lineRule="auto"/>
        <w:ind w:firstLine="426"/>
        <w:jc w:val="both"/>
        <w:rPr>
          <w:rFonts w:ascii="Times New Roman" w:eastAsia="Calibri" w:hAnsi="Times New Roman" w:cs="Times New Roman"/>
          <w:sz w:val="24"/>
          <w:szCs w:val="24"/>
          <w:lang w:eastAsia="ru-RU"/>
        </w:rPr>
      </w:pPr>
      <w:r w:rsidRPr="00667234">
        <w:rPr>
          <w:rFonts w:ascii="Times New Roman" w:eastAsia="Calibri" w:hAnsi="Times New Roman" w:cs="Times New Roman"/>
          <w:sz w:val="24"/>
          <w:szCs w:val="24"/>
          <w:lang w:eastAsia="ru-RU"/>
        </w:rPr>
        <w:t xml:space="preserve">где </w:t>
      </w:r>
      <w:proofErr w:type="spellStart"/>
      <w:r w:rsidRPr="00667234">
        <w:rPr>
          <w:rFonts w:ascii="Times New Roman" w:eastAsia="Calibri" w:hAnsi="Times New Roman" w:cs="Times New Roman"/>
          <w:i/>
          <w:sz w:val="24"/>
          <w:szCs w:val="24"/>
          <w:lang w:eastAsia="ru-RU"/>
        </w:rPr>
        <w:t>Q</w:t>
      </w:r>
      <w:r w:rsidRPr="00667234">
        <w:rPr>
          <w:rFonts w:ascii="Times New Roman" w:eastAsia="Calibri" w:hAnsi="Times New Roman" w:cs="Times New Roman"/>
          <w:i/>
          <w:sz w:val="24"/>
          <w:szCs w:val="24"/>
          <w:vertAlign w:val="subscript"/>
          <w:lang w:eastAsia="ru-RU"/>
        </w:rPr>
        <w:t>м</w:t>
      </w:r>
      <w:proofErr w:type="spellEnd"/>
      <w:r w:rsidRPr="00667234">
        <w:rPr>
          <w:rFonts w:ascii="Times New Roman" w:eastAsia="Calibri" w:hAnsi="Times New Roman" w:cs="Times New Roman"/>
          <w:sz w:val="24"/>
          <w:szCs w:val="24"/>
          <w:lang w:eastAsia="ru-RU"/>
        </w:rPr>
        <w:t xml:space="preserve"> – требуемое количество материалов, кг, шт.; </w:t>
      </w:r>
      <w:proofErr w:type="spellStart"/>
      <w:r w:rsidRPr="00667234">
        <w:rPr>
          <w:rFonts w:ascii="Times New Roman" w:eastAsia="Calibri" w:hAnsi="Times New Roman" w:cs="Times New Roman"/>
          <w:sz w:val="24"/>
          <w:szCs w:val="24"/>
          <w:lang w:eastAsia="ru-RU"/>
        </w:rPr>
        <w:t>П</w:t>
      </w:r>
      <w:r w:rsidRPr="00667234">
        <w:rPr>
          <w:rFonts w:ascii="Times New Roman" w:eastAsia="Calibri" w:hAnsi="Times New Roman" w:cs="Times New Roman"/>
          <w:sz w:val="24"/>
          <w:szCs w:val="24"/>
          <w:vertAlign w:val="subscript"/>
          <w:lang w:eastAsia="ru-RU"/>
        </w:rPr>
        <w:t>р</w:t>
      </w:r>
      <w:proofErr w:type="spellEnd"/>
      <w:r w:rsidRPr="00667234">
        <w:rPr>
          <w:rFonts w:ascii="Times New Roman" w:eastAsia="Calibri" w:hAnsi="Times New Roman" w:cs="Times New Roman"/>
          <w:sz w:val="24"/>
          <w:szCs w:val="24"/>
          <w:lang w:eastAsia="ru-RU"/>
        </w:rPr>
        <w:t xml:space="preserve"> – годовая программа работ данного вида; </w:t>
      </w:r>
      <w:proofErr w:type="spellStart"/>
      <w:r w:rsidRPr="00667234">
        <w:rPr>
          <w:rFonts w:ascii="Times New Roman" w:eastAsia="Calibri" w:hAnsi="Times New Roman" w:cs="Times New Roman"/>
          <w:sz w:val="24"/>
          <w:szCs w:val="24"/>
          <w:lang w:eastAsia="ru-RU"/>
        </w:rPr>
        <w:t>М</w:t>
      </w:r>
      <w:r w:rsidRPr="00667234">
        <w:rPr>
          <w:rFonts w:ascii="Times New Roman" w:eastAsia="Calibri" w:hAnsi="Times New Roman" w:cs="Times New Roman"/>
          <w:sz w:val="24"/>
          <w:szCs w:val="24"/>
          <w:vertAlign w:val="subscript"/>
          <w:lang w:eastAsia="ru-RU"/>
        </w:rPr>
        <w:t>нм</w:t>
      </w:r>
      <w:proofErr w:type="spellEnd"/>
      <w:r w:rsidRPr="00667234">
        <w:rPr>
          <w:rFonts w:ascii="Times New Roman" w:eastAsia="Calibri" w:hAnsi="Times New Roman" w:cs="Times New Roman"/>
          <w:sz w:val="24"/>
          <w:szCs w:val="24"/>
          <w:lang w:eastAsia="ru-RU"/>
        </w:rPr>
        <w:t xml:space="preserve"> – норма расхода материала данного вида на одну машину.</w:t>
      </w:r>
    </w:p>
    <w:p w:rsidR="00667234" w:rsidRDefault="00D218FA" w:rsidP="00556131">
      <w:pPr>
        <w:spacing w:after="0" w:line="240" w:lineRule="auto"/>
        <w:ind w:firstLine="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w:t>
      </w:r>
      <w:r w:rsidR="00667234" w:rsidRPr="00667234">
        <w:rPr>
          <w:rFonts w:ascii="Times New Roman" w:eastAsia="Calibri" w:hAnsi="Times New Roman" w:cs="Times New Roman"/>
          <w:sz w:val="24"/>
          <w:szCs w:val="24"/>
          <w:lang w:eastAsia="ru-RU"/>
        </w:rPr>
        <w:t>ействительное количество запасных частей и элементов на складе, должно определяться с учетом централизации обменного фонда на дилерском предприятии, то есть с учетом радиуса обслуживания [</w:t>
      </w:r>
      <w:r w:rsidR="00556131" w:rsidRPr="00556131">
        <w:rPr>
          <w:rFonts w:ascii="Times New Roman" w:eastAsia="Calibri" w:hAnsi="Times New Roman" w:cs="Times New Roman"/>
          <w:sz w:val="24"/>
          <w:szCs w:val="24"/>
          <w:lang w:eastAsia="ru-RU"/>
        </w:rPr>
        <w:t>4</w:t>
      </w:r>
      <w:r w:rsidR="00667234" w:rsidRPr="00667234">
        <w:rPr>
          <w:rFonts w:ascii="Times New Roman" w:eastAsia="Calibri" w:hAnsi="Times New Roman" w:cs="Times New Roman"/>
          <w:sz w:val="24"/>
          <w:szCs w:val="24"/>
          <w:lang w:eastAsia="ru-RU"/>
        </w:rPr>
        <w:t>, 6]. Изучение вопроса показало, что организационная форма обслуживания субъектов Иркутской области посредством ремонтн</w:t>
      </w:r>
      <w:r w:rsidR="00667234">
        <w:rPr>
          <w:rFonts w:ascii="Times New Roman" w:eastAsia="Calibri" w:hAnsi="Times New Roman" w:cs="Times New Roman"/>
          <w:sz w:val="24"/>
          <w:szCs w:val="24"/>
          <w:lang w:eastAsia="ru-RU"/>
        </w:rPr>
        <w:t>о-</w:t>
      </w:r>
      <w:r w:rsidR="00667234" w:rsidRPr="00667234">
        <w:rPr>
          <w:rFonts w:ascii="Times New Roman" w:eastAsia="Calibri" w:hAnsi="Times New Roman" w:cs="Times New Roman"/>
          <w:sz w:val="24"/>
          <w:szCs w:val="24"/>
          <w:lang w:eastAsia="ru-RU"/>
        </w:rPr>
        <w:t>складских ресурсов дилерских предприятий предполагает радиус зоны обслуживания, как правило, не превышающий 80 – 90 км, что позволяет вести достаточно оперативное обслуживание потребителей услуг - фермеров. Например, грузооборот агрегатов, рассчитанный по приведенной методике, в ООО «</w:t>
      </w:r>
      <w:proofErr w:type="spellStart"/>
      <w:r w:rsidR="00667234" w:rsidRPr="00667234">
        <w:rPr>
          <w:rFonts w:ascii="Times New Roman" w:eastAsia="Calibri" w:hAnsi="Times New Roman" w:cs="Times New Roman"/>
          <w:sz w:val="24"/>
          <w:szCs w:val="24"/>
          <w:lang w:eastAsia="ru-RU"/>
        </w:rPr>
        <w:t>Юник</w:t>
      </w:r>
      <w:proofErr w:type="spellEnd"/>
      <w:r w:rsidR="00667234" w:rsidRPr="00667234">
        <w:rPr>
          <w:rFonts w:ascii="Times New Roman" w:eastAsia="Calibri" w:hAnsi="Times New Roman" w:cs="Times New Roman"/>
          <w:sz w:val="24"/>
          <w:szCs w:val="24"/>
          <w:lang w:eastAsia="ru-RU"/>
        </w:rPr>
        <w:t>-Агро» в 2022 году составил 37 тонн (табл. 1)</w:t>
      </w:r>
      <w:r w:rsidR="00667234" w:rsidRPr="00667234">
        <w:rPr>
          <w:rFonts w:ascii="Times New Roman" w:eastAsia="Calibri" w:hAnsi="Times New Roman" w:cs="Times New Roman"/>
          <w:sz w:val="24"/>
          <w:szCs w:val="24"/>
          <w:lang w:val="en-US" w:eastAsia="ru-RU"/>
        </w:rPr>
        <w:t xml:space="preserve"> [1]</w:t>
      </w:r>
      <w:r w:rsidR="00667234">
        <w:rPr>
          <w:rFonts w:ascii="Times New Roman" w:eastAsia="Calibri" w:hAnsi="Times New Roman" w:cs="Times New Roman"/>
          <w:sz w:val="24"/>
          <w:szCs w:val="24"/>
          <w:lang w:eastAsia="ru-RU"/>
        </w:rPr>
        <w:t>.</w:t>
      </w:r>
    </w:p>
    <w:p w:rsidR="00D218FA" w:rsidRPr="00667234" w:rsidRDefault="00D218FA" w:rsidP="00D218FA">
      <w:pPr>
        <w:spacing w:after="0" w:line="240" w:lineRule="auto"/>
        <w:jc w:val="both"/>
        <w:rPr>
          <w:rFonts w:ascii="Times New Roman" w:eastAsia="Calibri" w:hAnsi="Times New Roman" w:cs="Times New Roman"/>
          <w:sz w:val="24"/>
          <w:szCs w:val="24"/>
          <w:lang w:eastAsia="ru-RU"/>
        </w:rPr>
      </w:pPr>
    </w:p>
    <w:p w:rsidR="00667234" w:rsidRPr="00667234" w:rsidRDefault="00667234" w:rsidP="00667234">
      <w:pPr>
        <w:widowControl w:val="0"/>
        <w:spacing w:after="0" w:line="240" w:lineRule="auto"/>
        <w:jc w:val="center"/>
        <w:rPr>
          <w:rFonts w:ascii="Times New Roman" w:eastAsia="Calibri" w:hAnsi="Times New Roman" w:cs="Times New Roman"/>
          <w:sz w:val="24"/>
          <w:szCs w:val="24"/>
          <w:lang w:val="ru" w:eastAsia="ru-RU"/>
        </w:rPr>
      </w:pPr>
      <w:r w:rsidRPr="00667234">
        <w:rPr>
          <w:rFonts w:ascii="Times New Roman" w:eastAsia="Calibri" w:hAnsi="Times New Roman" w:cs="Times New Roman"/>
          <w:sz w:val="24"/>
          <w:szCs w:val="24"/>
          <w:lang w:val="ru" w:eastAsia="ru-RU"/>
        </w:rPr>
        <w:t>Таблица 1 – Расчет годового грузооборота агрегатов тракторов</w:t>
      </w:r>
    </w:p>
    <w:tbl>
      <w:tblPr>
        <w:tblW w:w="9308" w:type="dxa"/>
        <w:jc w:val="center"/>
        <w:tblLayout w:type="fixed"/>
        <w:tblCellMar>
          <w:left w:w="10" w:type="dxa"/>
          <w:right w:w="10" w:type="dxa"/>
        </w:tblCellMar>
        <w:tblLook w:val="0000" w:firstRow="0" w:lastRow="0" w:firstColumn="0" w:lastColumn="0" w:noHBand="0" w:noVBand="0"/>
      </w:tblPr>
      <w:tblGrid>
        <w:gridCol w:w="1994"/>
        <w:gridCol w:w="1616"/>
        <w:gridCol w:w="2204"/>
        <w:gridCol w:w="1485"/>
        <w:gridCol w:w="2009"/>
      </w:tblGrid>
      <w:tr w:rsidR="00667234" w:rsidRPr="00667234" w:rsidTr="004A2DCE">
        <w:trPr>
          <w:trHeight w:val="549"/>
          <w:jc w:val="center"/>
        </w:trPr>
        <w:tc>
          <w:tcPr>
            <w:tcW w:w="1994"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pacing w:after="0" w:line="240" w:lineRule="auto"/>
              <w:jc w:val="center"/>
              <w:rPr>
                <w:rFonts w:ascii="Times New Roman" w:eastAsia="Batang" w:hAnsi="Times New Roman" w:cs="Times New Roman"/>
                <w:color w:val="000000"/>
                <w:sz w:val="24"/>
                <w:szCs w:val="24"/>
                <w:lang w:val="ru" w:eastAsia="ru-RU"/>
              </w:rPr>
            </w:pPr>
            <w:r w:rsidRPr="00667234">
              <w:rPr>
                <w:rFonts w:ascii="Times New Roman" w:eastAsia="Batang" w:hAnsi="Times New Roman" w:cs="Times New Roman"/>
                <w:color w:val="000000"/>
                <w:sz w:val="24"/>
                <w:szCs w:val="24"/>
                <w:lang w:val="ru" w:eastAsia="ru-RU"/>
              </w:rPr>
              <w:t>Марка трактора</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pacing w:after="0" w:line="240" w:lineRule="auto"/>
              <w:jc w:val="center"/>
              <w:rPr>
                <w:rFonts w:ascii="Times New Roman" w:eastAsia="Batang" w:hAnsi="Times New Roman" w:cs="Times New Roman"/>
                <w:color w:val="000000"/>
                <w:sz w:val="24"/>
                <w:szCs w:val="24"/>
                <w:lang w:val="ru" w:eastAsia="ru-RU"/>
              </w:rPr>
            </w:pPr>
            <w:r w:rsidRPr="00667234">
              <w:rPr>
                <w:rFonts w:ascii="Times New Roman" w:eastAsia="Batang" w:hAnsi="Times New Roman" w:cs="Times New Roman"/>
                <w:color w:val="000000"/>
                <w:sz w:val="24"/>
                <w:szCs w:val="24"/>
                <w:lang w:val="ru" w:eastAsia="ru-RU"/>
              </w:rPr>
              <w:t>Наименование агрегата</w:t>
            </w:r>
          </w:p>
        </w:tc>
        <w:tc>
          <w:tcPr>
            <w:tcW w:w="2204"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pacing w:after="0" w:line="240" w:lineRule="auto"/>
              <w:jc w:val="center"/>
              <w:rPr>
                <w:rFonts w:ascii="Times New Roman" w:eastAsia="Batang" w:hAnsi="Times New Roman" w:cs="Times New Roman"/>
                <w:color w:val="000000"/>
                <w:sz w:val="24"/>
                <w:szCs w:val="24"/>
                <w:lang w:val="ru" w:eastAsia="ru-RU"/>
              </w:rPr>
            </w:pPr>
            <w:r w:rsidRPr="00667234">
              <w:rPr>
                <w:rFonts w:ascii="Times New Roman" w:eastAsia="Batang" w:hAnsi="Times New Roman" w:cs="Times New Roman"/>
                <w:color w:val="000000"/>
                <w:sz w:val="24"/>
                <w:szCs w:val="24"/>
                <w:lang w:val="ru" w:eastAsia="ru-RU"/>
              </w:rPr>
              <w:t xml:space="preserve">Кол-во </w:t>
            </w:r>
            <w:r w:rsidRPr="00667234">
              <w:rPr>
                <w:rFonts w:ascii="Times New Roman" w:eastAsia="Batang" w:hAnsi="Times New Roman" w:cs="Times New Roman"/>
                <w:color w:val="000000"/>
                <w:sz w:val="24"/>
                <w:szCs w:val="24"/>
                <w:lang w:eastAsia="ru-RU"/>
              </w:rPr>
              <w:t xml:space="preserve">замен </w:t>
            </w:r>
            <w:r w:rsidRPr="00667234">
              <w:rPr>
                <w:rFonts w:ascii="Times New Roman" w:eastAsia="Batang" w:hAnsi="Times New Roman" w:cs="Times New Roman"/>
                <w:color w:val="000000"/>
                <w:sz w:val="24"/>
                <w:szCs w:val="24"/>
                <w:lang w:val="ru" w:eastAsia="ru-RU"/>
              </w:rPr>
              <w:t>агрегатов в год</w:t>
            </w:r>
            <w:r w:rsidRPr="00667234">
              <w:rPr>
                <w:rFonts w:ascii="Times New Roman" w:eastAsia="Batang" w:hAnsi="Times New Roman" w:cs="Times New Roman"/>
                <w:color w:val="000000"/>
                <w:sz w:val="24"/>
                <w:szCs w:val="24"/>
                <w:lang w:eastAsia="ru-RU"/>
              </w:rPr>
              <w:t>у</w:t>
            </w:r>
            <w:r w:rsidRPr="00667234">
              <w:rPr>
                <w:rFonts w:ascii="Times New Roman" w:eastAsia="Batang" w:hAnsi="Times New Roman" w:cs="Times New Roman"/>
                <w:color w:val="000000"/>
                <w:sz w:val="24"/>
                <w:szCs w:val="24"/>
                <w:lang w:val="ru" w:eastAsia="ru-RU"/>
              </w:rPr>
              <w:t>, шт</w:t>
            </w:r>
          </w:p>
        </w:tc>
        <w:tc>
          <w:tcPr>
            <w:tcW w:w="1485"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pacing w:after="0" w:line="240" w:lineRule="auto"/>
              <w:jc w:val="center"/>
              <w:rPr>
                <w:rFonts w:ascii="Times New Roman" w:eastAsia="Batang" w:hAnsi="Times New Roman" w:cs="Times New Roman"/>
                <w:color w:val="000000"/>
                <w:sz w:val="24"/>
                <w:szCs w:val="24"/>
                <w:lang w:val="ru" w:eastAsia="ru-RU"/>
              </w:rPr>
            </w:pPr>
            <w:r w:rsidRPr="00667234">
              <w:rPr>
                <w:rFonts w:ascii="Times New Roman" w:eastAsia="Batang" w:hAnsi="Times New Roman" w:cs="Times New Roman"/>
                <w:color w:val="000000"/>
                <w:sz w:val="24"/>
                <w:szCs w:val="24"/>
                <w:lang w:val="ru" w:eastAsia="ru-RU"/>
              </w:rPr>
              <w:t>Вес агрегата, т</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pacing w:after="0" w:line="240" w:lineRule="auto"/>
              <w:jc w:val="center"/>
              <w:rPr>
                <w:rFonts w:ascii="Times New Roman" w:eastAsia="Batang" w:hAnsi="Times New Roman" w:cs="Times New Roman"/>
                <w:color w:val="000000"/>
                <w:sz w:val="24"/>
                <w:szCs w:val="24"/>
                <w:lang w:val="ru" w:eastAsia="ru-RU"/>
              </w:rPr>
            </w:pPr>
            <w:r w:rsidRPr="00667234">
              <w:rPr>
                <w:rFonts w:ascii="Times New Roman" w:eastAsia="Batang" w:hAnsi="Times New Roman" w:cs="Times New Roman"/>
                <w:color w:val="000000"/>
                <w:sz w:val="24"/>
                <w:szCs w:val="24"/>
                <w:lang w:val="ru" w:eastAsia="ru-RU"/>
              </w:rPr>
              <w:t>Годовой грузооборот, т</w:t>
            </w:r>
          </w:p>
        </w:tc>
      </w:tr>
      <w:tr w:rsidR="00667234" w:rsidRPr="00667234" w:rsidTr="004A2DCE">
        <w:trPr>
          <w:trHeight w:val="292"/>
          <w:jc w:val="center"/>
        </w:trPr>
        <w:tc>
          <w:tcPr>
            <w:tcW w:w="1994"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pacing w:after="0" w:line="240" w:lineRule="auto"/>
              <w:jc w:val="center"/>
              <w:rPr>
                <w:rFonts w:ascii="Times New Roman" w:eastAsia="Batang" w:hAnsi="Times New Roman" w:cs="Times New Roman"/>
                <w:color w:val="000000"/>
                <w:sz w:val="24"/>
                <w:szCs w:val="24"/>
                <w:lang w:val="ru" w:eastAsia="ru-RU"/>
              </w:rPr>
            </w:pPr>
            <w:r w:rsidRPr="00667234">
              <w:rPr>
                <w:rFonts w:ascii="Times New Roman" w:eastAsia="Batang" w:hAnsi="Times New Roman" w:cs="Times New Roman"/>
                <w:color w:val="000000"/>
                <w:sz w:val="24"/>
                <w:szCs w:val="24"/>
                <w:lang w:val="ru" w:eastAsia="ru-RU"/>
              </w:rPr>
              <w:t>1</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pacing w:after="0" w:line="240" w:lineRule="auto"/>
              <w:jc w:val="center"/>
              <w:rPr>
                <w:rFonts w:ascii="Times New Roman" w:eastAsia="Batang" w:hAnsi="Times New Roman" w:cs="Times New Roman"/>
                <w:color w:val="000000"/>
                <w:sz w:val="24"/>
                <w:szCs w:val="24"/>
                <w:lang w:val="ru" w:eastAsia="ru-RU"/>
              </w:rPr>
            </w:pPr>
            <w:r w:rsidRPr="00667234">
              <w:rPr>
                <w:rFonts w:ascii="Times New Roman" w:eastAsia="Batang" w:hAnsi="Times New Roman" w:cs="Times New Roman"/>
                <w:color w:val="000000"/>
                <w:sz w:val="24"/>
                <w:szCs w:val="24"/>
                <w:lang w:val="ru" w:eastAsia="ru-RU"/>
              </w:rPr>
              <w:t>2</w:t>
            </w:r>
          </w:p>
        </w:tc>
        <w:tc>
          <w:tcPr>
            <w:tcW w:w="2204"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pacing w:after="0" w:line="240" w:lineRule="auto"/>
              <w:jc w:val="center"/>
              <w:rPr>
                <w:rFonts w:ascii="Times New Roman" w:eastAsia="Batang" w:hAnsi="Times New Roman" w:cs="Times New Roman"/>
                <w:color w:val="000000"/>
                <w:sz w:val="24"/>
                <w:szCs w:val="24"/>
                <w:lang w:val="ru" w:eastAsia="ru-RU"/>
              </w:rPr>
            </w:pPr>
            <w:r w:rsidRPr="00667234">
              <w:rPr>
                <w:rFonts w:ascii="Times New Roman" w:eastAsia="Batang" w:hAnsi="Times New Roman" w:cs="Times New Roman"/>
                <w:color w:val="000000"/>
                <w:sz w:val="24"/>
                <w:szCs w:val="24"/>
                <w:lang w:val="ru" w:eastAsia="ru-RU"/>
              </w:rPr>
              <w:t>9</w:t>
            </w:r>
          </w:p>
        </w:tc>
        <w:tc>
          <w:tcPr>
            <w:tcW w:w="1485"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pacing w:after="0" w:line="240" w:lineRule="auto"/>
              <w:jc w:val="center"/>
              <w:rPr>
                <w:rFonts w:ascii="Times New Roman" w:eastAsia="Batang" w:hAnsi="Times New Roman" w:cs="Times New Roman"/>
                <w:color w:val="000000"/>
                <w:sz w:val="24"/>
                <w:szCs w:val="24"/>
                <w:lang w:val="ru" w:eastAsia="ru-RU"/>
              </w:rPr>
            </w:pPr>
            <w:r w:rsidRPr="00667234">
              <w:rPr>
                <w:rFonts w:ascii="Times New Roman" w:eastAsia="Batang" w:hAnsi="Times New Roman" w:cs="Times New Roman"/>
                <w:color w:val="000000"/>
                <w:sz w:val="24"/>
                <w:szCs w:val="24"/>
                <w:lang w:val="ru" w:eastAsia="ru-RU"/>
              </w:rPr>
              <w:t>10</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pacing w:after="0" w:line="240" w:lineRule="auto"/>
              <w:jc w:val="center"/>
              <w:rPr>
                <w:rFonts w:ascii="Times New Roman" w:eastAsia="Batang" w:hAnsi="Times New Roman" w:cs="Times New Roman"/>
                <w:color w:val="000000"/>
                <w:sz w:val="24"/>
                <w:szCs w:val="24"/>
                <w:lang w:eastAsia="ru-RU"/>
              </w:rPr>
            </w:pPr>
          </w:p>
        </w:tc>
      </w:tr>
      <w:tr w:rsidR="00667234" w:rsidRPr="00667234" w:rsidTr="004A2DCE">
        <w:trPr>
          <w:trHeight w:val="278"/>
          <w:jc w:val="center"/>
        </w:trPr>
        <w:tc>
          <w:tcPr>
            <w:tcW w:w="1994" w:type="dxa"/>
            <w:vMerge w:val="restart"/>
            <w:tcBorders>
              <w:top w:val="single" w:sz="4" w:space="0" w:color="auto"/>
              <w:left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rPr>
                <w:rFonts w:ascii="Times New Roman" w:eastAsia="Batang" w:hAnsi="Times New Roman" w:cs="Times New Roman"/>
                <w:color w:val="000000"/>
                <w:sz w:val="24"/>
                <w:szCs w:val="24"/>
                <w:lang w:val="ru" w:eastAsia="ru-RU"/>
              </w:rPr>
            </w:pPr>
            <w:r w:rsidRPr="00667234">
              <w:rPr>
                <w:rFonts w:ascii="Times New Roman" w:eastAsia="Batang" w:hAnsi="Times New Roman" w:cs="Times New Roman"/>
                <w:color w:val="000000"/>
                <w:sz w:val="24"/>
                <w:szCs w:val="24"/>
                <w:lang w:val="en-US" w:eastAsia="ru-RU"/>
              </w:rPr>
              <w:t>MT3-8</w:t>
            </w:r>
            <w:r w:rsidRPr="00667234">
              <w:rPr>
                <w:rFonts w:ascii="Times New Roman" w:eastAsia="Batang" w:hAnsi="Times New Roman" w:cs="Times New Roman"/>
                <w:color w:val="000000"/>
                <w:sz w:val="24"/>
                <w:szCs w:val="24"/>
                <w:lang w:eastAsia="ru-RU"/>
              </w:rPr>
              <w:t>0</w:t>
            </w:r>
          </w:p>
        </w:tc>
        <w:tc>
          <w:tcPr>
            <w:tcW w:w="1616" w:type="dxa"/>
            <w:tcBorders>
              <w:top w:val="single" w:sz="4" w:space="0" w:color="auto"/>
              <w:left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val="ru" w:eastAsia="ru-RU"/>
              </w:rPr>
              <w:t>Двигатель</w:t>
            </w:r>
          </w:p>
        </w:tc>
        <w:tc>
          <w:tcPr>
            <w:tcW w:w="2204" w:type="dxa"/>
            <w:tcBorders>
              <w:top w:val="single" w:sz="4" w:space="0" w:color="auto"/>
              <w:left w:val="single" w:sz="4" w:space="0" w:color="auto"/>
              <w:right w:val="single" w:sz="4" w:space="0" w:color="auto"/>
            </w:tcBorders>
            <w:shd w:val="clear" w:color="auto" w:fill="FFFFFF"/>
          </w:tcPr>
          <w:p w:rsidR="00667234" w:rsidRPr="00667234" w:rsidRDefault="00667234" w:rsidP="00667234">
            <w:pPr>
              <w:widowControl w:val="0"/>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5</w:t>
            </w:r>
          </w:p>
        </w:tc>
        <w:tc>
          <w:tcPr>
            <w:tcW w:w="1485" w:type="dxa"/>
            <w:tcBorders>
              <w:top w:val="single" w:sz="4" w:space="0" w:color="auto"/>
              <w:left w:val="single" w:sz="4" w:space="0" w:color="auto"/>
              <w:right w:val="single" w:sz="4" w:space="0" w:color="auto"/>
            </w:tcBorders>
            <w:shd w:val="clear" w:color="auto" w:fill="FFFFFF"/>
          </w:tcPr>
          <w:p w:rsidR="00667234" w:rsidRPr="00667234" w:rsidRDefault="00667234" w:rsidP="00667234">
            <w:pPr>
              <w:widowControl w:val="0"/>
              <w:spacing w:after="0" w:line="240" w:lineRule="auto"/>
              <w:jc w:val="center"/>
              <w:rPr>
                <w:rFonts w:ascii="Times New Roman" w:eastAsia="Batang" w:hAnsi="Times New Roman" w:cs="Times New Roman"/>
                <w:color w:val="000000"/>
                <w:sz w:val="24"/>
                <w:szCs w:val="24"/>
                <w:lang w:val="ru" w:eastAsia="ru-RU"/>
              </w:rPr>
            </w:pPr>
            <w:r w:rsidRPr="00667234">
              <w:rPr>
                <w:rFonts w:ascii="Times New Roman" w:eastAsia="Batang" w:hAnsi="Times New Roman" w:cs="Times New Roman"/>
                <w:color w:val="000000"/>
                <w:sz w:val="24"/>
                <w:szCs w:val="24"/>
                <w:lang w:val="ru" w:eastAsia="ru-RU"/>
              </w:rPr>
              <w:t>0,51</w:t>
            </w:r>
          </w:p>
        </w:tc>
        <w:tc>
          <w:tcPr>
            <w:tcW w:w="2009" w:type="dxa"/>
            <w:tcBorders>
              <w:top w:val="single" w:sz="4" w:space="0" w:color="auto"/>
              <w:left w:val="single" w:sz="4" w:space="0" w:color="auto"/>
              <w:right w:val="single" w:sz="4" w:space="0" w:color="auto"/>
            </w:tcBorders>
            <w:shd w:val="clear" w:color="auto" w:fill="FFFFFF"/>
          </w:tcPr>
          <w:p w:rsidR="00667234" w:rsidRPr="00667234" w:rsidRDefault="00667234" w:rsidP="00667234">
            <w:pPr>
              <w:widowControl w:val="0"/>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2,55</w:t>
            </w:r>
          </w:p>
        </w:tc>
      </w:tr>
      <w:tr w:rsidR="00667234" w:rsidRPr="00667234" w:rsidTr="004A2DCE">
        <w:trPr>
          <w:trHeight w:val="268"/>
          <w:jc w:val="center"/>
        </w:trPr>
        <w:tc>
          <w:tcPr>
            <w:tcW w:w="1994" w:type="dxa"/>
            <w:vMerge/>
            <w:tcBorders>
              <w:left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rPr>
                <w:rFonts w:ascii="Times New Roman" w:eastAsia="Batang" w:hAnsi="Times New Roman" w:cs="Times New Roman"/>
                <w:color w:val="000000"/>
                <w:sz w:val="24"/>
                <w:szCs w:val="24"/>
                <w:lang w:val="ru" w:eastAsia="ru-RU"/>
              </w:rPr>
            </w:pPr>
          </w:p>
        </w:tc>
        <w:tc>
          <w:tcPr>
            <w:tcW w:w="1616" w:type="dxa"/>
            <w:tcBorders>
              <w:top w:val="single" w:sz="4" w:space="0" w:color="auto"/>
              <w:left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val="ru" w:eastAsia="ru-RU"/>
              </w:rPr>
              <w:t>КПП</w:t>
            </w:r>
          </w:p>
        </w:tc>
        <w:tc>
          <w:tcPr>
            <w:tcW w:w="2204" w:type="dxa"/>
            <w:tcBorders>
              <w:top w:val="single" w:sz="4" w:space="0" w:color="auto"/>
              <w:left w:val="single" w:sz="4" w:space="0" w:color="auto"/>
              <w:right w:val="single" w:sz="4" w:space="0" w:color="auto"/>
            </w:tcBorders>
            <w:shd w:val="clear" w:color="auto" w:fill="FFFFFF"/>
          </w:tcPr>
          <w:p w:rsidR="00667234" w:rsidRPr="00667234" w:rsidRDefault="00667234" w:rsidP="00667234">
            <w:pPr>
              <w:widowControl w:val="0"/>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13</w:t>
            </w:r>
          </w:p>
        </w:tc>
        <w:tc>
          <w:tcPr>
            <w:tcW w:w="1485" w:type="dxa"/>
            <w:tcBorders>
              <w:top w:val="single" w:sz="4" w:space="0" w:color="auto"/>
              <w:left w:val="single" w:sz="4" w:space="0" w:color="auto"/>
              <w:right w:val="single" w:sz="4" w:space="0" w:color="auto"/>
            </w:tcBorders>
            <w:shd w:val="clear" w:color="auto" w:fill="FFFFFF"/>
          </w:tcPr>
          <w:p w:rsidR="00667234" w:rsidRPr="00667234" w:rsidRDefault="00667234" w:rsidP="00667234">
            <w:pPr>
              <w:widowControl w:val="0"/>
              <w:spacing w:after="0" w:line="240" w:lineRule="auto"/>
              <w:jc w:val="center"/>
              <w:rPr>
                <w:rFonts w:ascii="Times New Roman" w:eastAsia="Batang" w:hAnsi="Times New Roman" w:cs="Times New Roman"/>
                <w:color w:val="000000"/>
                <w:sz w:val="24"/>
                <w:szCs w:val="24"/>
                <w:lang w:val="ru" w:eastAsia="ru-RU"/>
              </w:rPr>
            </w:pPr>
            <w:r w:rsidRPr="00667234">
              <w:rPr>
                <w:rFonts w:ascii="Times New Roman" w:eastAsia="Batang" w:hAnsi="Times New Roman" w:cs="Times New Roman"/>
                <w:color w:val="000000"/>
                <w:sz w:val="24"/>
                <w:szCs w:val="24"/>
                <w:lang w:val="ru" w:eastAsia="ru-RU"/>
              </w:rPr>
              <w:t>0,19</w:t>
            </w:r>
          </w:p>
        </w:tc>
        <w:tc>
          <w:tcPr>
            <w:tcW w:w="2009" w:type="dxa"/>
            <w:tcBorders>
              <w:top w:val="single" w:sz="4" w:space="0" w:color="auto"/>
              <w:left w:val="single" w:sz="4" w:space="0" w:color="auto"/>
              <w:right w:val="single" w:sz="4" w:space="0" w:color="auto"/>
            </w:tcBorders>
            <w:shd w:val="clear" w:color="auto" w:fill="FFFFFF"/>
          </w:tcPr>
          <w:p w:rsidR="00667234" w:rsidRPr="00667234" w:rsidRDefault="00667234" w:rsidP="00667234">
            <w:pPr>
              <w:widowControl w:val="0"/>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2</w:t>
            </w:r>
            <w:r w:rsidRPr="00667234">
              <w:rPr>
                <w:rFonts w:ascii="Times New Roman" w:eastAsia="Batang" w:hAnsi="Times New Roman" w:cs="Times New Roman"/>
                <w:color w:val="000000"/>
                <w:sz w:val="24"/>
                <w:szCs w:val="24"/>
                <w:lang w:val="ru" w:eastAsia="ru-RU"/>
              </w:rPr>
              <w:t>,</w:t>
            </w:r>
            <w:r w:rsidRPr="00667234">
              <w:rPr>
                <w:rFonts w:ascii="Times New Roman" w:eastAsia="Batang" w:hAnsi="Times New Roman" w:cs="Times New Roman"/>
                <w:color w:val="000000"/>
                <w:sz w:val="24"/>
                <w:szCs w:val="24"/>
                <w:lang w:eastAsia="ru-RU"/>
              </w:rPr>
              <w:t>47</w:t>
            </w:r>
          </w:p>
        </w:tc>
      </w:tr>
      <w:tr w:rsidR="00667234" w:rsidRPr="00667234" w:rsidTr="004A2DCE">
        <w:trPr>
          <w:trHeight w:val="273"/>
          <w:jc w:val="center"/>
        </w:trPr>
        <w:tc>
          <w:tcPr>
            <w:tcW w:w="1994" w:type="dxa"/>
            <w:vMerge/>
            <w:tcBorders>
              <w:left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rPr>
                <w:rFonts w:ascii="Times New Roman" w:eastAsia="Batang" w:hAnsi="Times New Roman" w:cs="Times New Roman"/>
                <w:color w:val="000000"/>
                <w:sz w:val="24"/>
                <w:szCs w:val="24"/>
                <w:lang w:val="ru" w:eastAsia="ru-RU"/>
              </w:rPr>
            </w:pPr>
          </w:p>
        </w:tc>
        <w:tc>
          <w:tcPr>
            <w:tcW w:w="1616" w:type="dxa"/>
            <w:tcBorders>
              <w:top w:val="single" w:sz="4" w:space="0" w:color="auto"/>
              <w:left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val="ru" w:eastAsia="ru-RU"/>
              </w:rPr>
              <w:t>Форсунки (комплект)</w:t>
            </w:r>
          </w:p>
        </w:tc>
        <w:tc>
          <w:tcPr>
            <w:tcW w:w="2204" w:type="dxa"/>
            <w:tcBorders>
              <w:top w:val="single" w:sz="4" w:space="0" w:color="auto"/>
              <w:left w:val="single" w:sz="4" w:space="0" w:color="auto"/>
              <w:right w:val="single" w:sz="4" w:space="0" w:color="auto"/>
            </w:tcBorders>
            <w:shd w:val="clear" w:color="auto" w:fill="FFFFFF"/>
          </w:tcPr>
          <w:p w:rsidR="00667234" w:rsidRPr="00667234" w:rsidRDefault="00667234" w:rsidP="00667234">
            <w:pPr>
              <w:widowControl w:val="0"/>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40</w:t>
            </w:r>
          </w:p>
        </w:tc>
        <w:tc>
          <w:tcPr>
            <w:tcW w:w="1485" w:type="dxa"/>
            <w:tcBorders>
              <w:top w:val="single" w:sz="4" w:space="0" w:color="auto"/>
              <w:left w:val="single" w:sz="4" w:space="0" w:color="auto"/>
              <w:right w:val="single" w:sz="4" w:space="0" w:color="auto"/>
            </w:tcBorders>
            <w:shd w:val="clear" w:color="auto" w:fill="FFFFFF"/>
          </w:tcPr>
          <w:p w:rsidR="00667234" w:rsidRPr="00667234" w:rsidRDefault="00667234" w:rsidP="00667234">
            <w:pPr>
              <w:widowControl w:val="0"/>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val="ru" w:eastAsia="ru-RU"/>
              </w:rPr>
              <w:t>0,0</w:t>
            </w:r>
            <w:r w:rsidRPr="00667234">
              <w:rPr>
                <w:rFonts w:ascii="Times New Roman" w:eastAsia="Batang" w:hAnsi="Times New Roman" w:cs="Times New Roman"/>
                <w:color w:val="000000"/>
                <w:sz w:val="24"/>
                <w:szCs w:val="24"/>
                <w:lang w:eastAsia="ru-RU"/>
              </w:rPr>
              <w:t>05</w:t>
            </w:r>
          </w:p>
        </w:tc>
        <w:tc>
          <w:tcPr>
            <w:tcW w:w="2009" w:type="dxa"/>
            <w:tcBorders>
              <w:top w:val="single" w:sz="4" w:space="0" w:color="auto"/>
              <w:left w:val="single" w:sz="4" w:space="0" w:color="auto"/>
              <w:right w:val="single" w:sz="4" w:space="0" w:color="auto"/>
            </w:tcBorders>
            <w:shd w:val="clear" w:color="auto" w:fill="FFFFFF"/>
          </w:tcPr>
          <w:p w:rsidR="00667234" w:rsidRPr="00667234" w:rsidRDefault="00667234" w:rsidP="00667234">
            <w:pPr>
              <w:widowControl w:val="0"/>
              <w:spacing w:after="0" w:line="240" w:lineRule="auto"/>
              <w:jc w:val="center"/>
              <w:rPr>
                <w:rFonts w:ascii="Times New Roman" w:eastAsia="Batang" w:hAnsi="Times New Roman" w:cs="Times New Roman"/>
                <w:color w:val="000000"/>
                <w:sz w:val="24"/>
                <w:szCs w:val="24"/>
                <w:lang w:val="ru" w:eastAsia="ru-RU"/>
              </w:rPr>
            </w:pPr>
            <w:r w:rsidRPr="00667234">
              <w:rPr>
                <w:rFonts w:ascii="Times New Roman" w:eastAsia="Batang" w:hAnsi="Times New Roman" w:cs="Times New Roman"/>
                <w:color w:val="000000"/>
                <w:sz w:val="24"/>
                <w:szCs w:val="24"/>
                <w:lang w:val="ru" w:eastAsia="ru-RU"/>
              </w:rPr>
              <w:t>0,</w:t>
            </w:r>
            <w:r w:rsidRPr="00667234">
              <w:rPr>
                <w:rFonts w:ascii="Times New Roman" w:eastAsia="Batang" w:hAnsi="Times New Roman" w:cs="Times New Roman"/>
                <w:color w:val="000000"/>
                <w:sz w:val="24"/>
                <w:szCs w:val="24"/>
                <w:lang w:eastAsia="ru-RU"/>
              </w:rPr>
              <w:t>00</w:t>
            </w:r>
            <w:r w:rsidRPr="00667234">
              <w:rPr>
                <w:rFonts w:ascii="Times New Roman" w:eastAsia="Batang" w:hAnsi="Times New Roman" w:cs="Times New Roman"/>
                <w:color w:val="000000"/>
                <w:sz w:val="24"/>
                <w:szCs w:val="24"/>
                <w:lang w:val="ru" w:eastAsia="ru-RU"/>
              </w:rPr>
              <w:t>5</w:t>
            </w:r>
          </w:p>
        </w:tc>
      </w:tr>
      <w:tr w:rsidR="00667234" w:rsidRPr="00667234" w:rsidTr="004A2DCE">
        <w:trPr>
          <w:trHeight w:val="256"/>
          <w:jc w:val="center"/>
        </w:trPr>
        <w:tc>
          <w:tcPr>
            <w:tcW w:w="1994" w:type="dxa"/>
            <w:vMerge/>
            <w:tcBorders>
              <w:left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val="ru" w:eastAsia="ru-RU"/>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ТНВД</w:t>
            </w:r>
          </w:p>
        </w:tc>
        <w:tc>
          <w:tcPr>
            <w:tcW w:w="2204"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5</w:t>
            </w:r>
          </w:p>
        </w:tc>
        <w:tc>
          <w:tcPr>
            <w:tcW w:w="1485"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val="ru" w:eastAsia="ru-RU"/>
              </w:rPr>
              <w:t>0,00</w:t>
            </w:r>
            <w:r w:rsidRPr="00667234">
              <w:rPr>
                <w:rFonts w:ascii="Times New Roman" w:eastAsia="Batang" w:hAnsi="Times New Roman" w:cs="Times New Roman"/>
                <w:color w:val="000000"/>
                <w:sz w:val="24"/>
                <w:szCs w:val="24"/>
                <w:lang w:eastAsia="ru-RU"/>
              </w:rPr>
              <w:t>8</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val="ru" w:eastAsia="ru-RU"/>
              </w:rPr>
              <w:t>0,</w:t>
            </w:r>
            <w:r w:rsidRPr="00667234">
              <w:rPr>
                <w:rFonts w:ascii="Times New Roman" w:eastAsia="Batang" w:hAnsi="Times New Roman" w:cs="Times New Roman"/>
                <w:color w:val="000000"/>
                <w:sz w:val="24"/>
                <w:szCs w:val="24"/>
                <w:lang w:eastAsia="ru-RU"/>
              </w:rPr>
              <w:t>03</w:t>
            </w:r>
          </w:p>
        </w:tc>
      </w:tr>
      <w:tr w:rsidR="00667234" w:rsidRPr="00667234" w:rsidTr="004A2DCE">
        <w:trPr>
          <w:trHeight w:val="280"/>
          <w:jc w:val="center"/>
        </w:trPr>
        <w:tc>
          <w:tcPr>
            <w:tcW w:w="1994" w:type="dxa"/>
            <w:vMerge w:val="restart"/>
            <w:tcBorders>
              <w:top w:val="single" w:sz="4" w:space="0" w:color="auto"/>
              <w:left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val="ru" w:eastAsia="ru-RU"/>
              </w:rPr>
            </w:pPr>
            <w:r w:rsidRPr="00667234">
              <w:rPr>
                <w:rFonts w:ascii="Times New Roman" w:eastAsia="Batang" w:hAnsi="Times New Roman" w:cs="Times New Roman"/>
                <w:color w:val="000000"/>
                <w:sz w:val="24"/>
                <w:szCs w:val="24"/>
                <w:lang w:val="en-US" w:eastAsia="ru-RU"/>
              </w:rPr>
              <w:t>MT3-82</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val="ru" w:eastAsia="ru-RU"/>
              </w:rPr>
              <w:t>Двигатель</w:t>
            </w:r>
          </w:p>
        </w:tc>
        <w:tc>
          <w:tcPr>
            <w:tcW w:w="2204"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6</w:t>
            </w:r>
          </w:p>
        </w:tc>
        <w:tc>
          <w:tcPr>
            <w:tcW w:w="1485"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0,69</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4,14</w:t>
            </w:r>
          </w:p>
        </w:tc>
      </w:tr>
      <w:tr w:rsidR="00667234" w:rsidRPr="00667234" w:rsidTr="004A2DCE">
        <w:trPr>
          <w:trHeight w:val="280"/>
          <w:jc w:val="center"/>
        </w:trPr>
        <w:tc>
          <w:tcPr>
            <w:tcW w:w="1994" w:type="dxa"/>
            <w:vMerge/>
            <w:tcBorders>
              <w:left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val="ru" w:eastAsia="ru-RU"/>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val="ru" w:eastAsia="ru-RU"/>
              </w:rPr>
            </w:pPr>
            <w:r w:rsidRPr="00667234">
              <w:rPr>
                <w:rFonts w:ascii="Times New Roman" w:eastAsia="Batang" w:hAnsi="Times New Roman" w:cs="Times New Roman"/>
                <w:color w:val="000000"/>
                <w:sz w:val="24"/>
                <w:szCs w:val="24"/>
                <w:lang w:val="ru" w:eastAsia="ru-RU"/>
              </w:rPr>
              <w:t>КПП</w:t>
            </w:r>
          </w:p>
        </w:tc>
        <w:tc>
          <w:tcPr>
            <w:tcW w:w="2204"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4</w:t>
            </w:r>
          </w:p>
        </w:tc>
        <w:tc>
          <w:tcPr>
            <w:tcW w:w="1485"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0,25</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1,0</w:t>
            </w:r>
          </w:p>
        </w:tc>
      </w:tr>
      <w:tr w:rsidR="00667234" w:rsidRPr="00667234" w:rsidTr="004A2DCE">
        <w:trPr>
          <w:trHeight w:val="280"/>
          <w:jc w:val="center"/>
        </w:trPr>
        <w:tc>
          <w:tcPr>
            <w:tcW w:w="1994" w:type="dxa"/>
            <w:vMerge/>
            <w:tcBorders>
              <w:left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val="ru" w:eastAsia="ru-RU"/>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val="ru" w:eastAsia="ru-RU"/>
              </w:rPr>
              <w:t>Форсунки (комплект</w:t>
            </w:r>
            <w:r w:rsidRPr="00667234">
              <w:rPr>
                <w:rFonts w:ascii="Times New Roman" w:eastAsia="Batang" w:hAnsi="Times New Roman" w:cs="Times New Roman"/>
                <w:color w:val="000000"/>
                <w:sz w:val="24"/>
                <w:szCs w:val="24"/>
                <w:lang w:eastAsia="ru-RU"/>
              </w:rPr>
              <w:t>)</w:t>
            </w:r>
          </w:p>
        </w:tc>
        <w:tc>
          <w:tcPr>
            <w:tcW w:w="2204"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9</w:t>
            </w:r>
          </w:p>
        </w:tc>
        <w:tc>
          <w:tcPr>
            <w:tcW w:w="1485"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0,005</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0,045</w:t>
            </w:r>
          </w:p>
        </w:tc>
      </w:tr>
      <w:tr w:rsidR="00667234" w:rsidRPr="00667234" w:rsidTr="004A2DCE">
        <w:trPr>
          <w:trHeight w:val="280"/>
          <w:jc w:val="center"/>
        </w:trPr>
        <w:tc>
          <w:tcPr>
            <w:tcW w:w="1994" w:type="dxa"/>
            <w:vMerge/>
            <w:tcBorders>
              <w:left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val="ru" w:eastAsia="ru-RU"/>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val="ru" w:eastAsia="ru-RU"/>
              </w:rPr>
            </w:pPr>
            <w:r w:rsidRPr="00667234">
              <w:rPr>
                <w:rFonts w:ascii="Times New Roman" w:eastAsia="Batang" w:hAnsi="Times New Roman" w:cs="Times New Roman"/>
                <w:color w:val="000000"/>
                <w:sz w:val="24"/>
                <w:szCs w:val="24"/>
                <w:lang w:eastAsia="ru-RU"/>
              </w:rPr>
              <w:t>ТНВД</w:t>
            </w:r>
          </w:p>
        </w:tc>
        <w:tc>
          <w:tcPr>
            <w:tcW w:w="2204"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4</w:t>
            </w:r>
          </w:p>
        </w:tc>
        <w:tc>
          <w:tcPr>
            <w:tcW w:w="1485"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0,01</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0,04</w:t>
            </w:r>
          </w:p>
        </w:tc>
      </w:tr>
      <w:tr w:rsidR="00667234" w:rsidRPr="00667234" w:rsidTr="004A2DCE">
        <w:trPr>
          <w:trHeight w:val="280"/>
          <w:jc w:val="center"/>
        </w:trPr>
        <w:tc>
          <w:tcPr>
            <w:tcW w:w="1994" w:type="dxa"/>
            <w:tcBorders>
              <w:left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val="ru" w:eastAsia="ru-RU"/>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val="ru" w:eastAsia="ru-RU"/>
              </w:rPr>
              <w:t>Мост передний</w:t>
            </w:r>
          </w:p>
        </w:tc>
        <w:tc>
          <w:tcPr>
            <w:tcW w:w="2204"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23</w:t>
            </w:r>
          </w:p>
        </w:tc>
        <w:tc>
          <w:tcPr>
            <w:tcW w:w="1485"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0,11</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2,53</w:t>
            </w:r>
          </w:p>
        </w:tc>
      </w:tr>
      <w:tr w:rsidR="00667234" w:rsidRPr="00667234" w:rsidTr="004A2DCE">
        <w:trPr>
          <w:trHeight w:val="280"/>
          <w:jc w:val="center"/>
        </w:trPr>
        <w:tc>
          <w:tcPr>
            <w:tcW w:w="1994" w:type="dxa"/>
            <w:vMerge w:val="restart"/>
            <w:tcBorders>
              <w:top w:val="single" w:sz="4" w:space="0" w:color="auto"/>
              <w:left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val="ru" w:eastAsia="ru-RU"/>
              </w:rPr>
            </w:pPr>
            <w:r w:rsidRPr="00667234">
              <w:rPr>
                <w:rFonts w:ascii="Times New Roman" w:eastAsia="Batang" w:hAnsi="Times New Roman" w:cs="Times New Roman"/>
                <w:color w:val="000000"/>
                <w:sz w:val="24"/>
                <w:szCs w:val="24"/>
                <w:lang w:val="en-US" w:eastAsia="ru-RU"/>
              </w:rPr>
              <w:t>MT3-</w:t>
            </w:r>
            <w:r w:rsidRPr="00667234">
              <w:rPr>
                <w:rFonts w:ascii="Times New Roman" w:eastAsia="Batang" w:hAnsi="Times New Roman" w:cs="Times New Roman"/>
                <w:color w:val="000000"/>
                <w:sz w:val="24"/>
                <w:szCs w:val="24"/>
                <w:lang w:eastAsia="ru-RU"/>
              </w:rPr>
              <w:t>1221</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val="ru" w:eastAsia="ru-RU"/>
              </w:rPr>
              <w:t>Двигатель</w:t>
            </w:r>
          </w:p>
        </w:tc>
        <w:tc>
          <w:tcPr>
            <w:tcW w:w="2204"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3</w:t>
            </w:r>
          </w:p>
        </w:tc>
        <w:tc>
          <w:tcPr>
            <w:tcW w:w="1485"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0,87</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2,61</w:t>
            </w:r>
          </w:p>
        </w:tc>
      </w:tr>
      <w:tr w:rsidR="00667234" w:rsidRPr="00667234" w:rsidTr="004A2DCE">
        <w:trPr>
          <w:trHeight w:val="280"/>
          <w:jc w:val="center"/>
        </w:trPr>
        <w:tc>
          <w:tcPr>
            <w:tcW w:w="1994" w:type="dxa"/>
            <w:vMerge/>
            <w:tcBorders>
              <w:left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val="ru" w:eastAsia="ru-RU"/>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val="ru" w:eastAsia="ru-RU"/>
              </w:rPr>
            </w:pPr>
            <w:r w:rsidRPr="00667234">
              <w:rPr>
                <w:rFonts w:ascii="Times New Roman" w:eastAsia="Batang" w:hAnsi="Times New Roman" w:cs="Times New Roman"/>
                <w:color w:val="000000"/>
                <w:sz w:val="24"/>
                <w:szCs w:val="24"/>
                <w:lang w:val="ru" w:eastAsia="ru-RU"/>
              </w:rPr>
              <w:t>КПП</w:t>
            </w:r>
          </w:p>
        </w:tc>
        <w:tc>
          <w:tcPr>
            <w:tcW w:w="2204"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3</w:t>
            </w:r>
          </w:p>
        </w:tc>
        <w:tc>
          <w:tcPr>
            <w:tcW w:w="1485"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0,30</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0,9</w:t>
            </w:r>
          </w:p>
        </w:tc>
      </w:tr>
      <w:tr w:rsidR="00667234" w:rsidRPr="00667234" w:rsidTr="004A2DCE">
        <w:trPr>
          <w:trHeight w:val="280"/>
          <w:jc w:val="center"/>
        </w:trPr>
        <w:tc>
          <w:tcPr>
            <w:tcW w:w="1994" w:type="dxa"/>
            <w:vMerge/>
            <w:tcBorders>
              <w:left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val="ru" w:eastAsia="ru-RU"/>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val="ru" w:eastAsia="ru-RU"/>
              </w:rPr>
              <w:t>Форсунки (комплект</w:t>
            </w:r>
            <w:r w:rsidRPr="00667234">
              <w:rPr>
                <w:rFonts w:ascii="Times New Roman" w:eastAsia="Batang" w:hAnsi="Times New Roman" w:cs="Times New Roman"/>
                <w:color w:val="000000"/>
                <w:sz w:val="24"/>
                <w:szCs w:val="24"/>
                <w:lang w:eastAsia="ru-RU"/>
              </w:rPr>
              <w:t>)</w:t>
            </w:r>
          </w:p>
        </w:tc>
        <w:tc>
          <w:tcPr>
            <w:tcW w:w="2204"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8</w:t>
            </w:r>
          </w:p>
        </w:tc>
        <w:tc>
          <w:tcPr>
            <w:tcW w:w="1485"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0,008</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0,064</w:t>
            </w:r>
          </w:p>
        </w:tc>
      </w:tr>
      <w:tr w:rsidR="00667234" w:rsidRPr="00667234" w:rsidTr="004A2DCE">
        <w:trPr>
          <w:trHeight w:val="280"/>
          <w:jc w:val="center"/>
        </w:trPr>
        <w:tc>
          <w:tcPr>
            <w:tcW w:w="1994" w:type="dxa"/>
            <w:vMerge/>
            <w:tcBorders>
              <w:left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val="ru" w:eastAsia="ru-RU"/>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val="ru" w:eastAsia="ru-RU"/>
              </w:rPr>
            </w:pPr>
            <w:r w:rsidRPr="00667234">
              <w:rPr>
                <w:rFonts w:ascii="Times New Roman" w:eastAsia="Batang" w:hAnsi="Times New Roman" w:cs="Times New Roman"/>
                <w:color w:val="000000"/>
                <w:sz w:val="24"/>
                <w:szCs w:val="24"/>
                <w:lang w:eastAsia="ru-RU"/>
              </w:rPr>
              <w:t>ТНВД</w:t>
            </w:r>
          </w:p>
        </w:tc>
        <w:tc>
          <w:tcPr>
            <w:tcW w:w="2204"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3</w:t>
            </w:r>
          </w:p>
        </w:tc>
        <w:tc>
          <w:tcPr>
            <w:tcW w:w="1485"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0,01</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0,03</w:t>
            </w:r>
          </w:p>
        </w:tc>
      </w:tr>
      <w:tr w:rsidR="00667234" w:rsidRPr="00667234" w:rsidTr="004A2DCE">
        <w:trPr>
          <w:trHeight w:val="280"/>
          <w:jc w:val="center"/>
        </w:trPr>
        <w:tc>
          <w:tcPr>
            <w:tcW w:w="1994" w:type="dxa"/>
            <w:vMerge w:val="restart"/>
            <w:tcBorders>
              <w:top w:val="single" w:sz="4" w:space="0" w:color="auto"/>
              <w:left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val="ru" w:eastAsia="ru-RU"/>
              </w:rPr>
            </w:pPr>
            <w:r w:rsidRPr="00667234">
              <w:rPr>
                <w:rFonts w:ascii="Times New Roman" w:eastAsia="Batang" w:hAnsi="Times New Roman" w:cs="Times New Roman"/>
                <w:color w:val="000000"/>
                <w:sz w:val="24"/>
                <w:szCs w:val="24"/>
                <w:lang w:val="ru" w:eastAsia="ru-RU"/>
              </w:rPr>
              <w:t>К-701</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val="ru" w:eastAsia="ru-RU"/>
              </w:rPr>
              <w:t>Двигатель</w:t>
            </w:r>
          </w:p>
        </w:tc>
        <w:tc>
          <w:tcPr>
            <w:tcW w:w="2204"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5</w:t>
            </w:r>
          </w:p>
        </w:tc>
        <w:tc>
          <w:tcPr>
            <w:tcW w:w="1485"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1,24</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6,2</w:t>
            </w:r>
          </w:p>
        </w:tc>
      </w:tr>
      <w:tr w:rsidR="00667234" w:rsidRPr="00667234" w:rsidTr="004A2DCE">
        <w:trPr>
          <w:trHeight w:val="280"/>
          <w:jc w:val="center"/>
        </w:trPr>
        <w:tc>
          <w:tcPr>
            <w:tcW w:w="1994" w:type="dxa"/>
            <w:vMerge/>
            <w:tcBorders>
              <w:left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val="ru" w:eastAsia="ru-RU"/>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val="ru" w:eastAsia="ru-RU"/>
              </w:rPr>
            </w:pPr>
            <w:r w:rsidRPr="00667234">
              <w:rPr>
                <w:rFonts w:ascii="Times New Roman" w:eastAsia="Batang" w:hAnsi="Times New Roman" w:cs="Times New Roman"/>
                <w:color w:val="000000"/>
                <w:sz w:val="24"/>
                <w:szCs w:val="24"/>
                <w:lang w:val="ru" w:eastAsia="ru-RU"/>
              </w:rPr>
              <w:t>КПП</w:t>
            </w:r>
          </w:p>
        </w:tc>
        <w:tc>
          <w:tcPr>
            <w:tcW w:w="2204"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5</w:t>
            </w:r>
          </w:p>
        </w:tc>
        <w:tc>
          <w:tcPr>
            <w:tcW w:w="1485"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1,1</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5,5</w:t>
            </w:r>
          </w:p>
        </w:tc>
      </w:tr>
      <w:tr w:rsidR="00667234" w:rsidRPr="00667234" w:rsidTr="004A2DCE">
        <w:trPr>
          <w:trHeight w:val="280"/>
          <w:jc w:val="center"/>
        </w:trPr>
        <w:tc>
          <w:tcPr>
            <w:tcW w:w="1994" w:type="dxa"/>
            <w:vMerge/>
            <w:tcBorders>
              <w:left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val="ru" w:eastAsia="ru-RU"/>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val="ru" w:eastAsia="ru-RU"/>
              </w:rPr>
              <w:t>Форсунки (комплект</w:t>
            </w:r>
            <w:r w:rsidRPr="00667234">
              <w:rPr>
                <w:rFonts w:ascii="Times New Roman" w:eastAsia="Batang" w:hAnsi="Times New Roman" w:cs="Times New Roman"/>
                <w:color w:val="000000"/>
                <w:sz w:val="24"/>
                <w:szCs w:val="24"/>
                <w:lang w:eastAsia="ru-RU"/>
              </w:rPr>
              <w:t>)</w:t>
            </w:r>
          </w:p>
        </w:tc>
        <w:tc>
          <w:tcPr>
            <w:tcW w:w="2204"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13</w:t>
            </w:r>
          </w:p>
        </w:tc>
        <w:tc>
          <w:tcPr>
            <w:tcW w:w="1485"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0,07</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0,91</w:t>
            </w:r>
          </w:p>
        </w:tc>
      </w:tr>
      <w:tr w:rsidR="00667234" w:rsidRPr="00667234" w:rsidTr="004A2DCE">
        <w:trPr>
          <w:trHeight w:val="280"/>
          <w:jc w:val="center"/>
        </w:trPr>
        <w:tc>
          <w:tcPr>
            <w:tcW w:w="1994" w:type="dxa"/>
            <w:vMerge/>
            <w:tcBorders>
              <w:left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val="ru" w:eastAsia="ru-RU"/>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val="ru" w:eastAsia="ru-RU"/>
              </w:rPr>
            </w:pPr>
            <w:r w:rsidRPr="00667234">
              <w:rPr>
                <w:rFonts w:ascii="Times New Roman" w:eastAsia="Batang" w:hAnsi="Times New Roman" w:cs="Times New Roman"/>
                <w:color w:val="000000"/>
                <w:sz w:val="24"/>
                <w:szCs w:val="24"/>
                <w:lang w:eastAsia="ru-RU"/>
              </w:rPr>
              <w:t>ТНВД</w:t>
            </w:r>
          </w:p>
        </w:tc>
        <w:tc>
          <w:tcPr>
            <w:tcW w:w="2204"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8</w:t>
            </w:r>
          </w:p>
        </w:tc>
        <w:tc>
          <w:tcPr>
            <w:tcW w:w="1485"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0,03</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0,24</w:t>
            </w:r>
          </w:p>
        </w:tc>
      </w:tr>
      <w:tr w:rsidR="00667234" w:rsidRPr="00667234" w:rsidTr="004A2DCE">
        <w:trPr>
          <w:trHeight w:val="280"/>
          <w:jc w:val="center"/>
        </w:trPr>
        <w:tc>
          <w:tcPr>
            <w:tcW w:w="1994" w:type="dxa"/>
            <w:vMerge/>
            <w:tcBorders>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pacing w:after="0" w:line="240" w:lineRule="auto"/>
              <w:rPr>
                <w:rFonts w:ascii="Times New Roman" w:eastAsia="Batang" w:hAnsi="Times New Roman" w:cs="Times New Roman"/>
                <w:color w:val="000000"/>
                <w:sz w:val="24"/>
                <w:szCs w:val="24"/>
                <w:lang w:val="ru" w:eastAsia="ru-RU"/>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rPr>
                <w:rFonts w:ascii="Times New Roman" w:eastAsia="Batang" w:hAnsi="Times New Roman" w:cs="Times New Roman"/>
                <w:color w:val="000000"/>
                <w:sz w:val="24"/>
                <w:szCs w:val="24"/>
                <w:lang w:val="ru" w:eastAsia="ru-RU"/>
              </w:rPr>
            </w:pPr>
            <w:r w:rsidRPr="00667234">
              <w:rPr>
                <w:rFonts w:ascii="Times New Roman" w:eastAsia="Batang" w:hAnsi="Times New Roman" w:cs="Times New Roman"/>
                <w:color w:val="000000"/>
                <w:sz w:val="24"/>
                <w:szCs w:val="24"/>
                <w:lang w:val="ru" w:eastAsia="ru-RU"/>
              </w:rPr>
              <w:t xml:space="preserve">Мост </w:t>
            </w:r>
            <w:r w:rsidRPr="00667234">
              <w:rPr>
                <w:rFonts w:ascii="Times New Roman" w:eastAsia="Batang" w:hAnsi="Times New Roman" w:cs="Times New Roman"/>
                <w:color w:val="000000"/>
                <w:sz w:val="24"/>
                <w:szCs w:val="24"/>
                <w:lang w:eastAsia="ru-RU"/>
              </w:rPr>
              <w:t>ведущий</w:t>
            </w:r>
          </w:p>
        </w:tc>
        <w:tc>
          <w:tcPr>
            <w:tcW w:w="2204"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3</w:t>
            </w:r>
          </w:p>
        </w:tc>
        <w:tc>
          <w:tcPr>
            <w:tcW w:w="1485"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0,65</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667234" w:rsidRPr="00667234" w:rsidRDefault="00667234" w:rsidP="00667234">
            <w:pPr>
              <w:widowControl w:val="0"/>
              <w:shd w:val="clear" w:color="auto" w:fill="FFFFFF"/>
              <w:spacing w:after="0" w:line="240" w:lineRule="auto"/>
              <w:jc w:val="center"/>
              <w:rPr>
                <w:rFonts w:ascii="Times New Roman" w:eastAsia="Batang" w:hAnsi="Times New Roman" w:cs="Times New Roman"/>
                <w:color w:val="000000"/>
                <w:sz w:val="24"/>
                <w:szCs w:val="24"/>
                <w:lang w:eastAsia="ru-RU"/>
              </w:rPr>
            </w:pPr>
            <w:r w:rsidRPr="00667234">
              <w:rPr>
                <w:rFonts w:ascii="Times New Roman" w:eastAsia="Batang" w:hAnsi="Times New Roman" w:cs="Times New Roman"/>
                <w:color w:val="000000"/>
                <w:sz w:val="24"/>
                <w:szCs w:val="24"/>
                <w:lang w:eastAsia="ru-RU"/>
              </w:rPr>
              <w:t>1,95</w:t>
            </w:r>
          </w:p>
        </w:tc>
      </w:tr>
    </w:tbl>
    <w:p w:rsidR="00667234" w:rsidRPr="00667234" w:rsidRDefault="00667234" w:rsidP="00D218FA">
      <w:pPr>
        <w:widowControl w:val="0"/>
        <w:spacing w:after="0" w:line="240" w:lineRule="auto"/>
        <w:rPr>
          <w:rFonts w:ascii="Times New Roman" w:eastAsia="Calibri" w:hAnsi="Times New Roman" w:cs="Times New Roman"/>
          <w:sz w:val="28"/>
          <w:szCs w:val="28"/>
          <w:lang w:val="ru" w:eastAsia="ru-RU"/>
        </w:rPr>
      </w:pPr>
    </w:p>
    <w:p w:rsidR="00667234" w:rsidRPr="00667234" w:rsidRDefault="00556131" w:rsidP="00556131">
      <w:pPr>
        <w:spacing w:after="0" w:line="240" w:lineRule="auto"/>
        <w:ind w:firstLine="426"/>
        <w:jc w:val="both"/>
        <w:rPr>
          <w:rFonts w:ascii="Times New Roman" w:eastAsia="Calibri" w:hAnsi="Times New Roman" w:cs="Times New Roman"/>
          <w:sz w:val="28"/>
          <w:szCs w:val="28"/>
          <w:lang w:val="ru" w:eastAsia="ru-RU"/>
        </w:rPr>
      </w:pPr>
      <w:r>
        <w:rPr>
          <w:rFonts w:ascii="Times New Roman" w:eastAsia="Calibri" w:hAnsi="Times New Roman" w:cs="Times New Roman"/>
          <w:sz w:val="24"/>
          <w:szCs w:val="24"/>
          <w:lang w:eastAsia="ru-RU"/>
        </w:rPr>
        <w:t>Таким образом, н</w:t>
      </w:r>
      <w:r w:rsidR="00667234" w:rsidRPr="00667234">
        <w:rPr>
          <w:rFonts w:ascii="Times New Roman" w:eastAsia="Calibri" w:hAnsi="Times New Roman" w:cs="Times New Roman"/>
          <w:sz w:val="24"/>
          <w:szCs w:val="24"/>
          <w:lang w:eastAsia="ru-RU"/>
        </w:rPr>
        <w:t>еобходимость замены агрегатов и узлов фактически связана с числом их отказов и в определенный период времени не зависит от количества ранее поступивших требований.</w:t>
      </w:r>
    </w:p>
    <w:p w:rsidR="00667234" w:rsidRPr="00667234" w:rsidRDefault="00667234" w:rsidP="00556131">
      <w:pPr>
        <w:spacing w:after="0" w:line="240" w:lineRule="auto"/>
        <w:ind w:firstLine="426"/>
        <w:jc w:val="both"/>
        <w:rPr>
          <w:rFonts w:ascii="Times New Roman" w:eastAsia="Calibri" w:hAnsi="Times New Roman" w:cs="Times New Roman"/>
          <w:sz w:val="24"/>
          <w:szCs w:val="24"/>
          <w:lang w:eastAsia="ru-RU"/>
        </w:rPr>
      </w:pPr>
      <w:r w:rsidRPr="00667234">
        <w:rPr>
          <w:rFonts w:ascii="Times New Roman" w:eastAsia="Calibri" w:hAnsi="Times New Roman" w:cs="Times New Roman"/>
          <w:sz w:val="24"/>
          <w:szCs w:val="24"/>
          <w:lang w:eastAsia="ru-RU"/>
        </w:rPr>
        <w:t xml:space="preserve">Выводы. </w:t>
      </w:r>
      <w:r>
        <w:rPr>
          <w:rFonts w:ascii="Times New Roman" w:eastAsia="Calibri" w:hAnsi="Times New Roman" w:cs="Times New Roman"/>
          <w:sz w:val="24"/>
          <w:szCs w:val="24"/>
          <w:lang w:eastAsia="ru-RU"/>
        </w:rPr>
        <w:t xml:space="preserve">1. </w:t>
      </w:r>
      <w:r w:rsidRPr="00667234">
        <w:rPr>
          <w:rFonts w:ascii="Times New Roman" w:eastAsia="Calibri" w:hAnsi="Times New Roman" w:cs="Times New Roman"/>
          <w:sz w:val="24"/>
          <w:szCs w:val="24"/>
          <w:lang w:eastAsia="ru-RU"/>
        </w:rPr>
        <w:t>Причины простоев техники на ремонтных дворах и площадках следует искать в организации обеспечения запасными частями, в том числе из обменных фондов, что значительно ускорит восстановительные ремонтные процессы.</w:t>
      </w:r>
    </w:p>
    <w:p w:rsidR="00667234" w:rsidRPr="00667234" w:rsidRDefault="00667234" w:rsidP="00556131">
      <w:pPr>
        <w:spacing w:after="0" w:line="240" w:lineRule="auto"/>
        <w:ind w:firstLine="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667234">
        <w:rPr>
          <w:rFonts w:ascii="Times New Roman" w:eastAsia="Calibri" w:hAnsi="Times New Roman" w:cs="Times New Roman"/>
          <w:sz w:val="24"/>
          <w:szCs w:val="24"/>
          <w:lang w:eastAsia="ru-RU"/>
        </w:rPr>
        <w:t>Централизованное управление запасами позволяет обеспечить среднюю оборачиваемость запасных частей на региональных и национальных складах не менее 3 раз в течение года [</w:t>
      </w:r>
      <w:r w:rsidR="00556131" w:rsidRPr="00556131">
        <w:rPr>
          <w:rFonts w:ascii="Times New Roman" w:eastAsia="Calibri" w:hAnsi="Times New Roman" w:cs="Times New Roman"/>
          <w:sz w:val="24"/>
          <w:szCs w:val="24"/>
          <w:lang w:eastAsia="ru-RU"/>
        </w:rPr>
        <w:t xml:space="preserve">3, </w:t>
      </w:r>
      <w:r w:rsidRPr="00667234">
        <w:rPr>
          <w:rFonts w:ascii="Times New Roman" w:eastAsia="Calibri" w:hAnsi="Times New Roman" w:cs="Times New Roman"/>
          <w:sz w:val="24"/>
          <w:szCs w:val="24"/>
          <w:lang w:eastAsia="ru-RU"/>
        </w:rPr>
        <w:t>4], что при номенклатуре в 50 – 150 тысяч наименований различной степени спроса считается вполне удовлетворительным уровнем</w:t>
      </w:r>
      <w:r>
        <w:rPr>
          <w:rFonts w:ascii="Times New Roman" w:eastAsia="Calibri" w:hAnsi="Times New Roman" w:cs="Times New Roman"/>
          <w:sz w:val="24"/>
          <w:szCs w:val="24"/>
          <w:lang w:eastAsia="ru-RU"/>
        </w:rPr>
        <w:t>.</w:t>
      </w:r>
    </w:p>
    <w:p w:rsidR="00667234" w:rsidRPr="00667234" w:rsidRDefault="00667234" w:rsidP="00556131">
      <w:pPr>
        <w:spacing w:after="0" w:line="240" w:lineRule="auto"/>
        <w:jc w:val="center"/>
        <w:rPr>
          <w:rFonts w:ascii="Times New Roman" w:eastAsia="Calibri" w:hAnsi="Times New Roman" w:cs="Times New Roman"/>
          <w:b/>
          <w:sz w:val="24"/>
          <w:szCs w:val="24"/>
          <w:lang w:eastAsia="ru-RU"/>
        </w:rPr>
      </w:pPr>
      <w:r w:rsidRPr="00667234">
        <w:rPr>
          <w:rFonts w:ascii="Times New Roman" w:eastAsia="Calibri" w:hAnsi="Times New Roman" w:cs="Times New Roman"/>
          <w:b/>
          <w:sz w:val="24"/>
          <w:szCs w:val="24"/>
          <w:lang w:eastAsia="ru-RU"/>
        </w:rPr>
        <w:t>Список литературы</w:t>
      </w:r>
    </w:p>
    <w:p w:rsidR="00667234" w:rsidRPr="00667234" w:rsidRDefault="00667234" w:rsidP="00556131">
      <w:pPr>
        <w:numPr>
          <w:ilvl w:val="0"/>
          <w:numId w:val="1"/>
        </w:numPr>
        <w:spacing w:after="0" w:line="240" w:lineRule="auto"/>
        <w:ind w:left="0" w:firstLine="426"/>
        <w:jc w:val="both"/>
        <w:rPr>
          <w:rFonts w:ascii="Times New Roman" w:eastAsia="Calibri" w:hAnsi="Times New Roman" w:cs="Times New Roman"/>
          <w:sz w:val="24"/>
          <w:szCs w:val="24"/>
          <w:lang w:eastAsia="ru-RU"/>
        </w:rPr>
      </w:pPr>
      <w:r w:rsidRPr="00667234">
        <w:rPr>
          <w:rFonts w:ascii="Times New Roman" w:eastAsia="Calibri" w:hAnsi="Times New Roman" w:cs="Times New Roman"/>
          <w:sz w:val="24"/>
          <w:szCs w:val="24"/>
          <w:lang w:eastAsia="ru-RU"/>
        </w:rPr>
        <w:t>Анищенко</w:t>
      </w:r>
      <w:r w:rsidR="00D218FA">
        <w:rPr>
          <w:rFonts w:ascii="Times New Roman" w:eastAsia="Calibri" w:hAnsi="Times New Roman" w:cs="Times New Roman"/>
          <w:sz w:val="24"/>
          <w:szCs w:val="24"/>
          <w:lang w:eastAsia="ru-RU"/>
        </w:rPr>
        <w:t xml:space="preserve"> А.</w:t>
      </w:r>
      <w:r w:rsidRPr="00667234">
        <w:rPr>
          <w:rFonts w:ascii="Times New Roman" w:eastAsia="Calibri" w:hAnsi="Times New Roman" w:cs="Times New Roman"/>
          <w:sz w:val="24"/>
          <w:szCs w:val="24"/>
          <w:lang w:eastAsia="ru-RU"/>
        </w:rPr>
        <w:t>С. Распределение запасных частей при то и ремонте машин в зависимости от потребности / А.С. Анищенко, Г.М. Бураева // Научные исследования студентов в решении актуальных проблем АПК: материалы всероссийской студенческой научно-практической конференции: в IV томах, Иркутск, 17–18 февраля 2022 года. Том IV. – п. Молодежный: Иркутский государственный аграрный университет им. А.А. Ежевского, 2022. – С. 3-7.</w:t>
      </w:r>
    </w:p>
    <w:p w:rsidR="00667234" w:rsidRPr="00667234" w:rsidRDefault="00667234" w:rsidP="00556131">
      <w:pPr>
        <w:numPr>
          <w:ilvl w:val="0"/>
          <w:numId w:val="1"/>
        </w:numPr>
        <w:spacing w:after="0" w:line="240" w:lineRule="auto"/>
        <w:ind w:left="0" w:firstLine="426"/>
        <w:jc w:val="both"/>
        <w:rPr>
          <w:rFonts w:ascii="Times New Roman" w:eastAsia="Calibri" w:hAnsi="Times New Roman" w:cs="Times New Roman"/>
          <w:sz w:val="24"/>
          <w:szCs w:val="24"/>
          <w:lang w:eastAsia="ru-RU"/>
        </w:rPr>
      </w:pPr>
      <w:proofErr w:type="spellStart"/>
      <w:r w:rsidRPr="00667234">
        <w:rPr>
          <w:rFonts w:ascii="Times New Roman" w:eastAsia="Calibri" w:hAnsi="Times New Roman" w:cs="Times New Roman"/>
          <w:sz w:val="24"/>
          <w:szCs w:val="24"/>
          <w:lang w:eastAsia="ru-RU"/>
        </w:rPr>
        <w:t>Борозенец</w:t>
      </w:r>
      <w:proofErr w:type="spellEnd"/>
      <w:r w:rsidRPr="00667234">
        <w:rPr>
          <w:rFonts w:ascii="Times New Roman" w:eastAsia="Calibri" w:hAnsi="Times New Roman" w:cs="Times New Roman"/>
          <w:sz w:val="24"/>
          <w:szCs w:val="24"/>
          <w:lang w:eastAsia="ru-RU"/>
        </w:rPr>
        <w:t xml:space="preserve"> В.Н. Прогнозирование потребности в запасных частях: </w:t>
      </w:r>
      <w:proofErr w:type="spellStart"/>
      <w:r w:rsidRPr="00667234">
        <w:rPr>
          <w:rFonts w:ascii="Times New Roman" w:eastAsia="Calibri" w:hAnsi="Times New Roman" w:cs="Times New Roman"/>
          <w:sz w:val="24"/>
          <w:szCs w:val="24"/>
          <w:lang w:eastAsia="ru-RU"/>
        </w:rPr>
        <w:t>дис</w:t>
      </w:r>
      <w:proofErr w:type="spellEnd"/>
      <w:r w:rsidRPr="00667234">
        <w:rPr>
          <w:rFonts w:ascii="Times New Roman" w:eastAsia="Calibri" w:hAnsi="Times New Roman" w:cs="Times New Roman"/>
          <w:sz w:val="24"/>
          <w:szCs w:val="24"/>
          <w:lang w:eastAsia="ru-RU"/>
        </w:rPr>
        <w:t xml:space="preserve">. …канд. </w:t>
      </w:r>
      <w:proofErr w:type="spellStart"/>
      <w:r w:rsidRPr="00667234">
        <w:rPr>
          <w:rFonts w:ascii="Times New Roman" w:eastAsia="Calibri" w:hAnsi="Times New Roman" w:cs="Times New Roman"/>
          <w:sz w:val="24"/>
          <w:szCs w:val="24"/>
          <w:lang w:eastAsia="ru-RU"/>
        </w:rPr>
        <w:t>экон</w:t>
      </w:r>
      <w:proofErr w:type="spellEnd"/>
      <w:r w:rsidRPr="00667234">
        <w:rPr>
          <w:rFonts w:ascii="Times New Roman" w:eastAsia="Calibri" w:hAnsi="Times New Roman" w:cs="Times New Roman"/>
          <w:sz w:val="24"/>
          <w:szCs w:val="24"/>
          <w:lang w:eastAsia="ru-RU"/>
        </w:rPr>
        <w:t xml:space="preserve">. наук: 08.00.05 и 05.20.03 / В.Н. </w:t>
      </w:r>
      <w:proofErr w:type="spellStart"/>
      <w:r w:rsidRPr="00667234">
        <w:rPr>
          <w:rFonts w:ascii="Times New Roman" w:eastAsia="Calibri" w:hAnsi="Times New Roman" w:cs="Times New Roman"/>
          <w:sz w:val="24"/>
          <w:szCs w:val="24"/>
          <w:lang w:eastAsia="ru-RU"/>
        </w:rPr>
        <w:t>Борозенец</w:t>
      </w:r>
      <w:proofErr w:type="spellEnd"/>
      <w:r w:rsidRPr="00667234">
        <w:rPr>
          <w:rFonts w:ascii="Times New Roman" w:eastAsia="Calibri" w:hAnsi="Times New Roman" w:cs="Times New Roman"/>
          <w:sz w:val="24"/>
          <w:szCs w:val="24"/>
          <w:lang w:eastAsia="ru-RU"/>
        </w:rPr>
        <w:t>. Ставрополь, 1999. 142 с</w:t>
      </w:r>
    </w:p>
    <w:p w:rsidR="00667234" w:rsidRPr="00667234" w:rsidRDefault="00667234" w:rsidP="00556131">
      <w:pPr>
        <w:numPr>
          <w:ilvl w:val="0"/>
          <w:numId w:val="1"/>
        </w:numPr>
        <w:spacing w:after="0" w:line="240" w:lineRule="auto"/>
        <w:ind w:left="0" w:firstLine="426"/>
        <w:jc w:val="both"/>
        <w:rPr>
          <w:rFonts w:ascii="Times New Roman" w:eastAsia="Calibri" w:hAnsi="Times New Roman" w:cs="Times New Roman"/>
          <w:sz w:val="24"/>
          <w:szCs w:val="24"/>
          <w:lang w:eastAsia="ru-RU"/>
        </w:rPr>
      </w:pPr>
      <w:r w:rsidRPr="00667234">
        <w:rPr>
          <w:rFonts w:ascii="Times New Roman" w:eastAsia="Calibri" w:hAnsi="Times New Roman" w:cs="Times New Roman"/>
          <w:bCs/>
          <w:sz w:val="24"/>
          <w:szCs w:val="24"/>
          <w:lang w:eastAsia="ru-RU"/>
        </w:rPr>
        <w:t>Бураев М.К</w:t>
      </w:r>
      <w:r w:rsidRPr="00667234">
        <w:rPr>
          <w:rFonts w:ascii="Times New Roman" w:eastAsia="Calibri" w:hAnsi="Times New Roman" w:cs="Times New Roman"/>
          <w:sz w:val="24"/>
          <w:szCs w:val="24"/>
          <w:lang w:eastAsia="ru-RU"/>
        </w:rPr>
        <w:t xml:space="preserve">. </w:t>
      </w:r>
      <w:r w:rsidRPr="00667234">
        <w:rPr>
          <w:rFonts w:ascii="Times New Roman" w:eastAsia="Calibri" w:hAnsi="Times New Roman" w:cs="Times New Roman"/>
          <w:sz w:val="24"/>
          <w:szCs w:val="24"/>
          <w:shd w:val="clear" w:color="auto" w:fill="FFFFFF"/>
          <w:lang w:eastAsia="ru-RU"/>
        </w:rPr>
        <w:t>Обеспечение работоспособности автотракторной техники корректированием расхода запасных частей при техническом сервисе</w:t>
      </w:r>
      <w:r w:rsidRPr="00667234">
        <w:rPr>
          <w:rFonts w:ascii="Times New Roman" w:eastAsia="Calibri" w:hAnsi="Times New Roman" w:cs="Times New Roman"/>
          <w:sz w:val="24"/>
          <w:szCs w:val="24"/>
          <w:lang w:eastAsia="ru-RU"/>
        </w:rPr>
        <w:t xml:space="preserve"> / </w:t>
      </w:r>
      <w:r w:rsidRPr="00667234">
        <w:rPr>
          <w:rFonts w:ascii="Times New Roman" w:eastAsia="Calibri" w:hAnsi="Times New Roman" w:cs="Times New Roman"/>
          <w:bCs/>
          <w:sz w:val="24"/>
          <w:szCs w:val="24"/>
          <w:lang w:eastAsia="ru-RU"/>
        </w:rPr>
        <w:t>Бураев М.К</w:t>
      </w:r>
      <w:r w:rsidRPr="00667234">
        <w:rPr>
          <w:rFonts w:ascii="Times New Roman" w:eastAsia="Calibri" w:hAnsi="Times New Roman" w:cs="Times New Roman"/>
          <w:sz w:val="24"/>
          <w:szCs w:val="24"/>
          <w:lang w:eastAsia="ru-RU"/>
        </w:rPr>
        <w:t xml:space="preserve">., Шистеев А.В. // Вестник ВСГУТУ. 2019. № 3. С. 69–77. </w:t>
      </w:r>
    </w:p>
    <w:p w:rsidR="00667234" w:rsidRPr="00667234" w:rsidRDefault="00667234" w:rsidP="00556131">
      <w:pPr>
        <w:numPr>
          <w:ilvl w:val="0"/>
          <w:numId w:val="1"/>
        </w:numPr>
        <w:spacing w:after="0" w:line="240" w:lineRule="auto"/>
        <w:ind w:left="0" w:firstLine="426"/>
        <w:jc w:val="both"/>
        <w:rPr>
          <w:rFonts w:ascii="Times New Roman" w:eastAsia="Calibri" w:hAnsi="Times New Roman" w:cs="Times New Roman"/>
          <w:sz w:val="24"/>
          <w:szCs w:val="24"/>
          <w:lang w:eastAsia="ru-RU"/>
        </w:rPr>
      </w:pPr>
      <w:r w:rsidRPr="00667234">
        <w:rPr>
          <w:rFonts w:ascii="Times New Roman" w:eastAsia="Calibri" w:hAnsi="Times New Roman" w:cs="Times New Roman"/>
          <w:sz w:val="24"/>
          <w:szCs w:val="24"/>
          <w:lang w:eastAsia="ru-RU"/>
        </w:rPr>
        <w:t>Волгин И.В. Анализ причин образования сверхнормативных накоплений запасных частей / И.В. Волгин, В.П. Тихонов // Научные труды ГОСПИТИ. М.: 1988, т.8., C. 35–43.</w:t>
      </w:r>
    </w:p>
    <w:p w:rsidR="00667234" w:rsidRPr="00667234" w:rsidRDefault="00667234" w:rsidP="00556131">
      <w:pPr>
        <w:numPr>
          <w:ilvl w:val="0"/>
          <w:numId w:val="1"/>
        </w:numPr>
        <w:spacing w:after="0" w:line="240" w:lineRule="auto"/>
        <w:ind w:left="0" w:firstLine="426"/>
        <w:jc w:val="both"/>
        <w:rPr>
          <w:rFonts w:ascii="Times New Roman" w:eastAsia="Calibri" w:hAnsi="Times New Roman" w:cs="Times New Roman"/>
          <w:sz w:val="24"/>
          <w:szCs w:val="24"/>
          <w:lang w:eastAsia="ru-RU"/>
        </w:rPr>
      </w:pPr>
      <w:r w:rsidRPr="00667234">
        <w:rPr>
          <w:rFonts w:ascii="Times New Roman" w:eastAsia="Calibri" w:hAnsi="Times New Roman" w:cs="Times New Roman"/>
          <w:sz w:val="24"/>
          <w:szCs w:val="24"/>
          <w:lang w:eastAsia="ru-RU"/>
        </w:rPr>
        <w:t xml:space="preserve">Голубев И.Г. Опыт изготовления запасных частей для зарубежной с.-х. техники на Российских предприятиях/ И.Г Голубев, А.А. Мухин, В.Е Кожевникова // Сб. науч. </w:t>
      </w:r>
      <w:proofErr w:type="spellStart"/>
      <w:r w:rsidRPr="00667234">
        <w:rPr>
          <w:rFonts w:ascii="Times New Roman" w:eastAsia="Calibri" w:hAnsi="Times New Roman" w:cs="Times New Roman"/>
          <w:sz w:val="24"/>
          <w:szCs w:val="24"/>
          <w:lang w:eastAsia="ru-RU"/>
        </w:rPr>
        <w:t>докл</w:t>
      </w:r>
      <w:proofErr w:type="spellEnd"/>
      <w:r w:rsidRPr="00667234">
        <w:rPr>
          <w:rFonts w:ascii="Times New Roman" w:eastAsia="Calibri" w:hAnsi="Times New Roman" w:cs="Times New Roman"/>
          <w:sz w:val="24"/>
          <w:szCs w:val="24"/>
          <w:lang w:eastAsia="ru-RU"/>
        </w:rPr>
        <w:t>. XVI Межд. науч.-</w:t>
      </w:r>
      <w:proofErr w:type="spellStart"/>
      <w:r w:rsidRPr="00667234">
        <w:rPr>
          <w:rFonts w:ascii="Times New Roman" w:eastAsia="Calibri" w:hAnsi="Times New Roman" w:cs="Times New Roman"/>
          <w:sz w:val="24"/>
          <w:szCs w:val="24"/>
          <w:lang w:eastAsia="ru-RU"/>
        </w:rPr>
        <w:t>практ</w:t>
      </w:r>
      <w:proofErr w:type="spellEnd"/>
      <w:r w:rsidRPr="00667234">
        <w:rPr>
          <w:rFonts w:ascii="Times New Roman" w:eastAsia="Calibri" w:hAnsi="Times New Roman" w:cs="Times New Roman"/>
          <w:sz w:val="24"/>
          <w:szCs w:val="24"/>
          <w:lang w:eastAsia="ru-RU"/>
        </w:rPr>
        <w:t xml:space="preserve">. </w:t>
      </w:r>
      <w:proofErr w:type="spellStart"/>
      <w:r w:rsidRPr="00667234">
        <w:rPr>
          <w:rFonts w:ascii="Times New Roman" w:eastAsia="Calibri" w:hAnsi="Times New Roman" w:cs="Times New Roman"/>
          <w:sz w:val="24"/>
          <w:szCs w:val="24"/>
          <w:lang w:eastAsia="ru-RU"/>
        </w:rPr>
        <w:t>конф</w:t>
      </w:r>
      <w:proofErr w:type="spellEnd"/>
      <w:r w:rsidRPr="00667234">
        <w:rPr>
          <w:rFonts w:ascii="Times New Roman" w:eastAsia="Calibri" w:hAnsi="Times New Roman" w:cs="Times New Roman"/>
          <w:sz w:val="24"/>
          <w:szCs w:val="24"/>
          <w:lang w:eastAsia="ru-RU"/>
        </w:rPr>
        <w:t>. Тамбов, 2015.</w:t>
      </w:r>
    </w:p>
    <w:p w:rsidR="00667234" w:rsidRPr="00667234" w:rsidRDefault="00667234" w:rsidP="00556131">
      <w:pPr>
        <w:numPr>
          <w:ilvl w:val="0"/>
          <w:numId w:val="1"/>
        </w:numPr>
        <w:spacing w:after="0" w:line="240" w:lineRule="auto"/>
        <w:ind w:left="0" w:firstLine="426"/>
        <w:jc w:val="both"/>
        <w:rPr>
          <w:rFonts w:ascii="Times New Roman" w:eastAsia="Calibri" w:hAnsi="Times New Roman" w:cs="Times New Roman"/>
          <w:b/>
          <w:sz w:val="24"/>
          <w:szCs w:val="24"/>
          <w:lang w:eastAsia="ru-RU"/>
        </w:rPr>
      </w:pPr>
      <w:r w:rsidRPr="00667234">
        <w:rPr>
          <w:rFonts w:ascii="Times New Roman" w:eastAsia="Calibri" w:hAnsi="Times New Roman" w:cs="Times New Roman"/>
          <w:color w:val="000000"/>
          <w:sz w:val="24"/>
          <w:szCs w:val="24"/>
          <w:lang w:eastAsia="ru-RU"/>
        </w:rPr>
        <w:t>Курносов А.Ф. Способы определения эффективности работы двигателя / Корниенко В.Н., Богданов С.И., Курносов А.Ф. // В сборнике: Состояние и инновации технического сервиса машин и оборудования. Материалы IX региональной научно-практической конференции студентов, аспирантов и молодых ученых, посвященной памяти доцента М.А. Анфиногенова. Новосибирский государственный аграрный университет. Инженерный институт. 2017. С. 129-132.</w:t>
      </w:r>
    </w:p>
    <w:p w:rsidR="00667234" w:rsidRPr="00667234" w:rsidRDefault="00667234" w:rsidP="00667234">
      <w:pPr>
        <w:spacing w:line="240" w:lineRule="auto"/>
        <w:jc w:val="both"/>
        <w:rPr>
          <w:rFonts w:ascii="Times New Roman" w:hAnsi="Times New Roman" w:cs="Times New Roman"/>
          <w:sz w:val="24"/>
          <w:szCs w:val="24"/>
          <w:lang w:val="en-US"/>
        </w:rPr>
      </w:pPr>
    </w:p>
    <w:sectPr w:rsidR="00667234" w:rsidRPr="00667234" w:rsidSect="007D20B2">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A66C3"/>
    <w:multiLevelType w:val="hybridMultilevel"/>
    <w:tmpl w:val="4AF6566A"/>
    <w:lvl w:ilvl="0" w:tplc="A43E822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E02"/>
    <w:rsid w:val="000A5C82"/>
    <w:rsid w:val="00212415"/>
    <w:rsid w:val="00221502"/>
    <w:rsid w:val="00556131"/>
    <w:rsid w:val="00644E02"/>
    <w:rsid w:val="00667234"/>
    <w:rsid w:val="007D20B2"/>
    <w:rsid w:val="00D21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BC33"/>
  <w15:docId w15:val="{E3561C6E-9C7B-41EA-85AD-2A62422F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7234"/>
    <w:rPr>
      <w:color w:val="0000FF" w:themeColor="hyperlink"/>
      <w:u w:val="single"/>
    </w:rPr>
  </w:style>
  <w:style w:type="paragraph" w:styleId="a4">
    <w:name w:val="Balloon Text"/>
    <w:basedOn w:val="a"/>
    <w:link w:val="a5"/>
    <w:uiPriority w:val="99"/>
    <w:semiHidden/>
    <w:unhideWhenUsed/>
    <w:rsid w:val="006672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7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ive-er@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1199</Words>
  <Characters>6836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Дмитрий Михайлович</cp:lastModifiedBy>
  <cp:revision>5</cp:revision>
  <dcterms:created xsi:type="dcterms:W3CDTF">2023-04-07T12:19:00Z</dcterms:created>
  <dcterms:modified xsi:type="dcterms:W3CDTF">2023-04-21T09:13:00Z</dcterms:modified>
</cp:coreProperties>
</file>