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61" w:rsidRPr="00FB7581" w:rsidRDefault="009C447C" w:rsidP="00D27544">
      <w:pPr>
        <w:pStyle w:val="a3"/>
        <w:ind w:left="0" w:right="0" w:firstLine="426"/>
      </w:pPr>
      <w:bookmarkStart w:id="0" w:name="_GoBack"/>
      <w:r w:rsidRPr="00FB7581">
        <w:t>И</w:t>
      </w:r>
      <w:r w:rsidR="00FB7581">
        <w:t>спользование возможностей биологических агентов в обеззараживании почв и сточных вод при их загрязнении пестицидами</w:t>
      </w:r>
    </w:p>
    <w:p w:rsidR="00372B61" w:rsidRPr="00FB7581" w:rsidRDefault="00372B61" w:rsidP="00D27544">
      <w:pPr>
        <w:pStyle w:val="a3"/>
        <w:spacing w:line="276" w:lineRule="auto"/>
        <w:ind w:left="0" w:right="0" w:firstLine="426"/>
      </w:pPr>
    </w:p>
    <w:p w:rsidR="00372B61" w:rsidRPr="00FC434A" w:rsidRDefault="003F24C3" w:rsidP="00D27544">
      <w:pPr>
        <w:pStyle w:val="a3"/>
        <w:spacing w:line="276" w:lineRule="auto"/>
        <w:ind w:left="0" w:right="0" w:firstLine="426"/>
        <w:rPr>
          <w:i/>
        </w:rPr>
      </w:pPr>
      <w:proofErr w:type="spellStart"/>
      <w:r w:rsidRPr="00FC434A">
        <w:rPr>
          <w:i/>
        </w:rPr>
        <w:t>Васендин</w:t>
      </w:r>
      <w:proofErr w:type="spellEnd"/>
      <w:r w:rsidRPr="00FC434A">
        <w:rPr>
          <w:i/>
        </w:rPr>
        <w:t xml:space="preserve"> Д.В.</w:t>
      </w:r>
      <w:r w:rsidR="00CA14E1" w:rsidRPr="00FC434A">
        <w:rPr>
          <w:i/>
        </w:rPr>
        <w:t xml:space="preserve"> </w:t>
      </w:r>
    </w:p>
    <w:p w:rsidR="00FB7581" w:rsidRPr="00FC434A" w:rsidRDefault="00FB7581" w:rsidP="00D27544">
      <w:pPr>
        <w:pStyle w:val="a3"/>
        <w:spacing w:line="276" w:lineRule="auto"/>
        <w:ind w:left="0" w:right="0" w:firstLine="426"/>
        <w:rPr>
          <w:b w:val="0"/>
          <w:i/>
        </w:rPr>
      </w:pPr>
      <w:r w:rsidRPr="00FC434A">
        <w:rPr>
          <w:b w:val="0"/>
          <w:i/>
        </w:rPr>
        <w:t>Доцент, к.м.н.</w:t>
      </w:r>
    </w:p>
    <w:p w:rsidR="00FB7581" w:rsidRPr="00FC434A" w:rsidRDefault="00FB7581" w:rsidP="00D27544">
      <w:pPr>
        <w:pStyle w:val="a3"/>
        <w:spacing w:line="276" w:lineRule="auto"/>
        <w:ind w:left="0" w:right="0" w:firstLine="426"/>
        <w:rPr>
          <w:i/>
        </w:rPr>
      </w:pPr>
      <w:proofErr w:type="spellStart"/>
      <w:r w:rsidRPr="00FC434A">
        <w:rPr>
          <w:i/>
        </w:rPr>
        <w:t>Удилова</w:t>
      </w:r>
      <w:proofErr w:type="spellEnd"/>
      <w:r w:rsidRPr="00FC434A">
        <w:rPr>
          <w:i/>
        </w:rPr>
        <w:t xml:space="preserve"> К.В.</w:t>
      </w:r>
    </w:p>
    <w:p w:rsidR="00FB7581" w:rsidRDefault="00FB7581" w:rsidP="00D27544">
      <w:pPr>
        <w:pStyle w:val="a3"/>
        <w:spacing w:line="276" w:lineRule="auto"/>
        <w:ind w:left="0" w:right="0" w:firstLine="426"/>
        <w:rPr>
          <w:b w:val="0"/>
          <w:i/>
        </w:rPr>
      </w:pPr>
      <w:r w:rsidRPr="00FC434A">
        <w:rPr>
          <w:b w:val="0"/>
          <w:i/>
        </w:rPr>
        <w:t>Студент</w:t>
      </w:r>
    </w:p>
    <w:p w:rsidR="00372B61" w:rsidRPr="00D91BD3" w:rsidRDefault="00372B61" w:rsidP="00D27544">
      <w:pPr>
        <w:pStyle w:val="a3"/>
        <w:spacing w:line="276" w:lineRule="auto"/>
        <w:ind w:left="0" w:right="0" w:firstLine="426"/>
        <w:rPr>
          <w:b w:val="0"/>
          <w:i/>
        </w:rPr>
      </w:pPr>
      <w:r w:rsidRPr="00D91BD3">
        <w:rPr>
          <w:b w:val="0"/>
          <w:i/>
        </w:rPr>
        <w:t xml:space="preserve">Сибирский государственный университет геосистем и технологий, </w:t>
      </w:r>
      <w:r w:rsidR="00FC434A" w:rsidRPr="00D91BD3">
        <w:rPr>
          <w:b w:val="0"/>
          <w:i/>
        </w:rPr>
        <w:t>Институт кадастра и природопользования,</w:t>
      </w:r>
      <w:r w:rsidRPr="00D91BD3">
        <w:rPr>
          <w:b w:val="0"/>
          <w:i/>
        </w:rPr>
        <w:t xml:space="preserve"> Новосибирск</w:t>
      </w:r>
      <w:r w:rsidR="00FC434A" w:rsidRPr="00D91BD3">
        <w:rPr>
          <w:b w:val="0"/>
          <w:i/>
        </w:rPr>
        <w:t>, Россия</w:t>
      </w:r>
    </w:p>
    <w:p w:rsidR="00D91BD3" w:rsidRPr="00FC434A" w:rsidRDefault="00D91BD3" w:rsidP="00D27544">
      <w:pPr>
        <w:pStyle w:val="a3"/>
        <w:spacing w:line="276" w:lineRule="auto"/>
        <w:ind w:left="0" w:right="0" w:firstLine="426"/>
        <w:rPr>
          <w:b w:val="0"/>
          <w:i/>
          <w:lang w:val="en-US"/>
        </w:rPr>
      </w:pPr>
      <w:r>
        <w:rPr>
          <w:b w:val="0"/>
          <w:i/>
          <w:lang w:val="en-US"/>
        </w:rPr>
        <w:t>E-mail: vasendindv@gmail.com</w:t>
      </w:r>
    </w:p>
    <w:p w:rsidR="009B6685" w:rsidRPr="001F093F" w:rsidRDefault="009B6685" w:rsidP="00D2754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B6685" w:rsidRPr="001F093F" w:rsidRDefault="00D91BD3" w:rsidP="00D275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Существует жизненно важное преимущество использования микроорганизмов для деградации пестицидов. Это связано с разнообразием, широким распространением и адаптацией переменных метаболических путей. Кластеры генов участвуют в микробной деградации. Генетические манипуляции и конструирование генно-инженерных бактерий также используются для деградации пестицидов. Скрининг и выделение штаммов микроорганизмов очень эффективны для деградации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карбендазима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минеральной питательной среде. 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Карбендазим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источником углерода для роста этого штамма. Диапазон рН 5,1–8,1 и температур 25-40 °С оптимальны для максимальной эффективности деградации, то есть до 90% в азотной атмосфере [</w:t>
      </w:r>
      <w:r w:rsidR="00A03E3C">
        <w:rPr>
          <w:rFonts w:ascii="Times New Roman" w:eastAsia="Times New Roman" w:hAnsi="Times New Roman"/>
          <w:sz w:val="24"/>
          <w:szCs w:val="24"/>
          <w:lang w:eastAsia="ru-RU"/>
        </w:rPr>
        <w:t xml:space="preserve">1, </w:t>
      </w:r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2].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Пестицидразрушающие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бактерии и покрытие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Rhizobium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meliloti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на семенах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Medicago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sativa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эффективны для восстановления почвы, загрязненной органическим фосфорным пестицидом. Этот подход эффективен, обладая рядом преимуществ, а именно быстрой скоростью восстановления почвы, простотой в эксплуатации и высокой обрабатывающей способностью для удаления органического фосфорного пестицида.</w:t>
      </w:r>
      <w:r w:rsidR="009B6685" w:rsidRPr="001F09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Sphingobium</w:t>
      </w:r>
      <w:proofErr w:type="spellEnd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japonicum</w:t>
      </w:r>
      <w:proofErr w:type="spellEnd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 ̶ штамм для деградации хлорированных пестицидов, то есть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гексахлорциклогексана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. Этот штамм (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Sphingobium</w:t>
      </w:r>
      <w:proofErr w:type="spellEnd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japonicum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 LZ-2) может полностью разлагат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proofErr w:type="spellStart"/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линдан</w:t>
      </w:r>
      <w:proofErr w:type="spellEnd"/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 xml:space="preserve"> 20 мг/л за 10 часов</w:t>
      </w:r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. Аэробная бактерия (</w:t>
      </w:r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штамм 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Burkholderia</w:t>
      </w:r>
      <w:proofErr w:type="spellEnd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cepacia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 CH-9) может быть использована для деградации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имидаклоприда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метрибузина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. 69%-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ная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деградация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имидаклоприда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и 86%-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ная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деградация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метрибузина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получены через 20 дней при начальной дозе 50 мг/л в минерально-солевой среде.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Бифентрин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(БФ) ̶ синтетический пестицид. Он разлагается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пиретроидными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бактериями (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Acinetobacter</w:t>
      </w:r>
      <w:proofErr w:type="spellEnd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calcoaceticus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). Скорость деградации может быть достигнута до 56,4% при начальной концентрации 100 мг/л с диапазон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ом рН 6,0–8,0 и 5% инокуляции [3</w:t>
      </w:r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].</w:t>
      </w:r>
    </w:p>
    <w:p w:rsidR="00A03E3C" w:rsidRDefault="009B6685" w:rsidP="00D275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Штаммы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стрептомицетов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огромное применение для деградации пестицида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хлорпирифоса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(CP). Потенциал деградации этих штаммов можно оценить, проведя исследование в агаровой среде. Изменение рН может повлиять на эффективность процесса деградации. Трет-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Бу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меркаптан (ТМБ) подвергается биодеградации в воде в аэробных условиях. В процессе биодеградации участвует кинетика первого порядка. Наблюдается незначительное увеличение скорости реакции при добавлении ТМБ и незначительное снижение при добавлении фенола. Бактериальные штаммы, способные разлагать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метомил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карбофуран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, могут быть изучены методом жидкостной хромат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ографии высокого давления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биодеградационном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3E3C">
        <w:rPr>
          <w:rFonts w:ascii="Times New Roman" w:eastAsia="Times New Roman" w:hAnsi="Times New Roman"/>
          <w:sz w:val="24"/>
          <w:szCs w:val="24"/>
          <w:lang w:eastAsia="ru-RU"/>
        </w:rPr>
        <w:t>анализе. Подвижной фазой служит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ацетонитрил и воду. Близость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карбофуран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-деградирующих штаммов к родам</w:t>
      </w:r>
      <w:r w:rsidRPr="001F09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Flavobacterium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 и</w:t>
      </w:r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proofErr w:type="spellStart"/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Alcaligenes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 и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метомил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-деградирующих штаммов к родам</w:t>
      </w:r>
      <w:r w:rsidRPr="001F09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Pseudomonas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 и</w:t>
      </w:r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proofErr w:type="spellStart"/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Alcaligenes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 была выявлена с помощью анализа 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последовательностей 16S </w:t>
      </w:r>
      <w:proofErr w:type="spellStart"/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рДНК</w:t>
      </w:r>
      <w:proofErr w:type="spellEnd"/>
      <w:r w:rsidR="008F2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88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F28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F288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. Фотосинтетическая бактерия (GJ-22) способна разлагать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циперметрин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(CMP)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. Д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еградация CMP GJ-22 очень продуктивна при 25-35 °C и рН 7,0. При проведении газовой хроматогр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 xml:space="preserve">афии/масс-спектрометрии 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выявляются продукты метаболизма. Деградация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 xml:space="preserve"> ХМР протекает окислительным и/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гидролитическим путями под действием GJ-22 с образованием 5 метаболитов. Удаление хлорорганических пестицидов из почвы осуществляется микробиологическим путем в оптимальных условиях окружающей среды. Лучшие результаты получаются при добавлении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гумата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калия для повышения концентрации микроорганизм</w:t>
      </w:r>
      <w:r w:rsidR="00A03E3C">
        <w:rPr>
          <w:rFonts w:ascii="Times New Roman" w:eastAsia="Times New Roman" w:hAnsi="Times New Roman"/>
          <w:sz w:val="24"/>
          <w:szCs w:val="24"/>
          <w:lang w:eastAsia="ru-RU"/>
        </w:rPr>
        <w:t>ов.</w:t>
      </w:r>
    </w:p>
    <w:p w:rsidR="00A03E3C" w:rsidRDefault="00A03E3C" w:rsidP="00D275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E3C" w:rsidRPr="00A03E3C" w:rsidRDefault="00A03E3C" w:rsidP="00D27544">
      <w:pPr>
        <w:pStyle w:val="a3"/>
        <w:ind w:left="0" w:right="0" w:firstLine="426"/>
      </w:pPr>
      <w:r w:rsidRPr="00A03E3C">
        <w:t>Литература</w:t>
      </w:r>
    </w:p>
    <w:p w:rsidR="00A03E3C" w:rsidRPr="009B6685" w:rsidRDefault="00A03E3C" w:rsidP="00D27544">
      <w:pPr>
        <w:pStyle w:val="a3"/>
        <w:ind w:left="0" w:right="0" w:firstLine="426"/>
        <w:rPr>
          <w:sz w:val="20"/>
          <w:szCs w:val="20"/>
        </w:rPr>
      </w:pPr>
    </w:p>
    <w:p w:rsidR="00A03E3C" w:rsidRPr="00A03E3C" w:rsidRDefault="00A03E3C" w:rsidP="00D27544">
      <w:pPr>
        <w:numPr>
          <w:ilvl w:val="0"/>
          <w:numId w:val="1"/>
        </w:numPr>
        <w:tabs>
          <w:tab w:val="num" w:pos="873"/>
          <w:tab w:val="left" w:pos="181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03E3C">
        <w:rPr>
          <w:rFonts w:ascii="Times New Roman" w:hAnsi="Times New Roman"/>
          <w:sz w:val="24"/>
          <w:szCs w:val="24"/>
        </w:rPr>
        <w:t xml:space="preserve">Машков С. В., Белкина О. М., </w:t>
      </w:r>
      <w:proofErr w:type="spellStart"/>
      <w:r w:rsidRPr="00A03E3C">
        <w:rPr>
          <w:rFonts w:ascii="Times New Roman" w:hAnsi="Times New Roman"/>
          <w:sz w:val="24"/>
          <w:szCs w:val="24"/>
        </w:rPr>
        <w:t>Васендин</w:t>
      </w:r>
      <w:proofErr w:type="spellEnd"/>
      <w:r w:rsidRPr="00A03E3C">
        <w:rPr>
          <w:rFonts w:ascii="Times New Roman" w:hAnsi="Times New Roman"/>
          <w:sz w:val="24"/>
          <w:szCs w:val="24"/>
        </w:rPr>
        <w:t xml:space="preserve"> Д. В.  Специальная обработка: учеб. пособие для студентов высших учебных заведений. Новосибирск</w:t>
      </w:r>
      <w:r w:rsidRPr="00A03E3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A03E3C">
        <w:rPr>
          <w:rFonts w:ascii="Times New Roman" w:hAnsi="Times New Roman"/>
          <w:sz w:val="24"/>
          <w:szCs w:val="24"/>
        </w:rPr>
        <w:t>Сибмедиздат</w:t>
      </w:r>
      <w:proofErr w:type="spellEnd"/>
      <w:r w:rsidRPr="00A03E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3E3C">
        <w:rPr>
          <w:rFonts w:ascii="Times New Roman" w:hAnsi="Times New Roman"/>
          <w:sz w:val="24"/>
          <w:szCs w:val="24"/>
        </w:rPr>
        <w:t>НГМУ</w:t>
      </w:r>
      <w:r w:rsidRPr="00A03E3C">
        <w:rPr>
          <w:rFonts w:ascii="Times New Roman" w:hAnsi="Times New Roman"/>
          <w:sz w:val="24"/>
          <w:szCs w:val="24"/>
          <w:lang w:val="en-US"/>
        </w:rPr>
        <w:t>. 2011.</w:t>
      </w:r>
    </w:p>
    <w:p w:rsidR="00A03E3C" w:rsidRPr="00A03E3C" w:rsidRDefault="00A03E3C" w:rsidP="00D27544">
      <w:pPr>
        <w:numPr>
          <w:ilvl w:val="0"/>
          <w:numId w:val="1"/>
        </w:numPr>
        <w:tabs>
          <w:tab w:val="num" w:pos="873"/>
          <w:tab w:val="left" w:pos="181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Tian L. S., Chen F. Biological characteristics and degradation performance of a degrading strain // </w:t>
      </w:r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Yangzhou </w:t>
      </w:r>
      <w:proofErr w:type="spellStart"/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>Daxue</w:t>
      </w:r>
      <w:proofErr w:type="spellEnd"/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>Xuebao</w:t>
      </w:r>
      <w:proofErr w:type="spellEnd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2012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 № 1 (33). </w:t>
      </w:r>
    </w:p>
    <w:p w:rsidR="00D91BD3" w:rsidRPr="00A03E3C" w:rsidRDefault="00D91BD3" w:rsidP="00D27544">
      <w:pPr>
        <w:numPr>
          <w:ilvl w:val="0"/>
          <w:numId w:val="1"/>
        </w:numPr>
        <w:tabs>
          <w:tab w:val="num" w:pos="873"/>
          <w:tab w:val="left" w:pos="181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Kumar S., </w:t>
      </w:r>
      <w:proofErr w:type="spellStart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Anthonisamy</w:t>
      </w:r>
      <w:proofErr w:type="spellEnd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 A., </w:t>
      </w:r>
      <w:proofErr w:type="spellStart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Arunkumar</w:t>
      </w:r>
      <w:proofErr w:type="spellEnd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 S. Biodegradation of methyl parathion and </w:t>
      </w:r>
      <w:proofErr w:type="spellStart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endosulfan</w:t>
      </w:r>
      <w:proofErr w:type="spellEnd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 using: </w:t>
      </w:r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>Pseudomonas aeruginosa</w:t>
      </w:r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 and </w:t>
      </w:r>
      <w:proofErr w:type="spellStart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Trichodermaviridae</w:t>
      </w:r>
      <w:proofErr w:type="spellEnd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 //</w:t>
      </w:r>
      <w:r w:rsidRPr="00A03E3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>Journal of Environmental Science and Engineering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 2011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№ 53 (1)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bookmarkEnd w:id="0"/>
    </w:p>
    <w:sectPr w:rsidR="00D91BD3" w:rsidRPr="00A03E3C" w:rsidSect="00D2754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EF0"/>
    <w:multiLevelType w:val="hybridMultilevel"/>
    <w:tmpl w:val="8C065276"/>
    <w:lvl w:ilvl="0" w:tplc="BACCB6FC">
      <w:start w:val="1"/>
      <w:numFmt w:val="decimal"/>
      <w:suff w:val="space"/>
      <w:lvlText w:val="%1."/>
      <w:lvlJc w:val="left"/>
      <w:pPr>
        <w:ind w:left="1135" w:firstLine="567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3D1"/>
    <w:rsid w:val="00071966"/>
    <w:rsid w:val="001F093F"/>
    <w:rsid w:val="002A44D7"/>
    <w:rsid w:val="002C4B11"/>
    <w:rsid w:val="00372B61"/>
    <w:rsid w:val="003F24C3"/>
    <w:rsid w:val="004869EE"/>
    <w:rsid w:val="00603BBA"/>
    <w:rsid w:val="006412AD"/>
    <w:rsid w:val="0069279C"/>
    <w:rsid w:val="007739AB"/>
    <w:rsid w:val="007F36A3"/>
    <w:rsid w:val="00801077"/>
    <w:rsid w:val="00821246"/>
    <w:rsid w:val="008F2888"/>
    <w:rsid w:val="009313E7"/>
    <w:rsid w:val="009456D1"/>
    <w:rsid w:val="009A7AF5"/>
    <w:rsid w:val="009B6685"/>
    <w:rsid w:val="009C447C"/>
    <w:rsid w:val="00A03E3C"/>
    <w:rsid w:val="00A4335B"/>
    <w:rsid w:val="00AB77FC"/>
    <w:rsid w:val="00B06702"/>
    <w:rsid w:val="00BE11EB"/>
    <w:rsid w:val="00C473D1"/>
    <w:rsid w:val="00CA14E1"/>
    <w:rsid w:val="00D27544"/>
    <w:rsid w:val="00D91BD3"/>
    <w:rsid w:val="00DC56DD"/>
    <w:rsid w:val="00E62BAF"/>
    <w:rsid w:val="00EA2307"/>
    <w:rsid w:val="00F47820"/>
    <w:rsid w:val="00FB7581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61C6E-9C7B-41EA-85AD-2A62422F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372B61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6685"/>
    <w:rPr>
      <w:color w:val="0563C1"/>
      <w:u w:val="single"/>
    </w:rPr>
  </w:style>
  <w:style w:type="paragraph" w:customStyle="1" w:styleId="a5">
    <w:name w:val="Я_бибсписок_заголовок"/>
    <w:basedOn w:val="a"/>
    <w:qFormat/>
    <w:rsid w:val="009B6685"/>
    <w:pPr>
      <w:spacing w:before="240" w:after="120" w:line="240" w:lineRule="auto"/>
      <w:jc w:val="center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Heineken Breweries LLC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Дмитрий Михайлович</cp:lastModifiedBy>
  <cp:revision>2</cp:revision>
  <dcterms:created xsi:type="dcterms:W3CDTF">2023-04-14T16:38:00Z</dcterms:created>
  <dcterms:modified xsi:type="dcterms:W3CDTF">2023-04-14T16:38:00Z</dcterms:modified>
</cp:coreProperties>
</file>