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FB7" w14:textId="77777777" w:rsidR="006D62F2" w:rsidRDefault="00271362" w:rsidP="00271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62">
        <w:rPr>
          <w:rFonts w:ascii="Times New Roman" w:hAnsi="Times New Roman" w:cs="Times New Roman"/>
          <w:b/>
          <w:sz w:val="24"/>
          <w:szCs w:val="24"/>
        </w:rPr>
        <w:t>ИССЛЕДОВАНИЕ СПОСОБОВ СОПРЯЖЕНИЯ СМЕЖНЫХ ГРАНИЦ РАНЕЕ УЧТЕННЫХ ЗЕМЕЛЬНЫХ УЧАСТКОВ В КАДАСТРЕ</w:t>
      </w:r>
    </w:p>
    <w:p w14:paraId="5BC2DD25" w14:textId="559F78BC" w:rsidR="00295C60" w:rsidRDefault="00271362" w:rsidP="0027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Каленская Е</w:t>
      </w:r>
      <w:r w:rsidR="00295C6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295C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7AAB4CD" w14:textId="63657AC6" w:rsidR="00295C60" w:rsidRPr="00295C60" w:rsidRDefault="00295C60" w:rsidP="002713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5C6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295C60">
        <w:rPr>
          <w:rFonts w:ascii="Times New Roman" w:hAnsi="Times New Roman" w:cs="Times New Roman"/>
          <w:i/>
          <w:iCs/>
          <w:sz w:val="24"/>
          <w:szCs w:val="24"/>
        </w:rPr>
        <w:t>тудент</w:t>
      </w:r>
    </w:p>
    <w:p w14:paraId="5C8F1EDD" w14:textId="46B29FAC" w:rsidR="00271362" w:rsidRDefault="00271362" w:rsidP="00271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Калюжин В</w:t>
      </w:r>
      <w:r w:rsidR="00295C6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95C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99FE6E3" w14:textId="168BE28E" w:rsidR="00271362" w:rsidRPr="00295C60" w:rsidRDefault="00271362" w:rsidP="002713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5C60">
        <w:rPr>
          <w:rFonts w:ascii="Times New Roman" w:hAnsi="Times New Roman" w:cs="Times New Roman"/>
          <w:i/>
          <w:iCs/>
          <w:sz w:val="24"/>
          <w:szCs w:val="24"/>
        </w:rPr>
        <w:t>доцент, к.т.н.</w:t>
      </w:r>
    </w:p>
    <w:p w14:paraId="0669942B" w14:textId="77777777" w:rsidR="00271362" w:rsidRPr="00271362" w:rsidRDefault="00271362" w:rsidP="0027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государственный университет геосистем и технологий, Новосибирск, Россия</w:t>
      </w:r>
    </w:p>
    <w:p w14:paraId="1B65F949" w14:textId="77777777" w:rsidR="00271362" w:rsidRPr="00712C92" w:rsidRDefault="00271362" w:rsidP="0027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2C92">
        <w:rPr>
          <w:rFonts w:ascii="Times New Roman" w:hAnsi="Times New Roman" w:cs="Times New Roman"/>
          <w:sz w:val="24"/>
          <w:szCs w:val="24"/>
        </w:rPr>
        <w:t>–</w:t>
      </w:r>
      <w:r w:rsidRPr="002713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2C92">
        <w:rPr>
          <w:rFonts w:ascii="Times New Roman" w:hAnsi="Times New Roman" w:cs="Times New Roman"/>
          <w:sz w:val="24"/>
          <w:szCs w:val="24"/>
        </w:rPr>
        <w:t xml:space="preserve">: </w:t>
      </w:r>
      <w:r w:rsidRPr="00271362">
        <w:rPr>
          <w:rFonts w:ascii="Times New Roman" w:hAnsi="Times New Roman" w:cs="Times New Roman"/>
          <w:sz w:val="24"/>
          <w:szCs w:val="24"/>
          <w:lang w:val="en-US"/>
        </w:rPr>
        <w:t>ekaterinakalenskaya</w:t>
      </w:r>
      <w:r w:rsidRPr="00712C92">
        <w:rPr>
          <w:rFonts w:ascii="Times New Roman" w:hAnsi="Times New Roman" w:cs="Times New Roman"/>
          <w:sz w:val="24"/>
          <w:szCs w:val="24"/>
        </w:rPr>
        <w:t>85@</w:t>
      </w:r>
      <w:r w:rsidRPr="00271362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712C92">
        <w:rPr>
          <w:rFonts w:ascii="Times New Roman" w:hAnsi="Times New Roman" w:cs="Times New Roman"/>
          <w:sz w:val="24"/>
          <w:szCs w:val="24"/>
        </w:rPr>
        <w:t>.</w:t>
      </w:r>
      <w:r w:rsidRPr="0027136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321919D2" w14:textId="77777777" w:rsidR="00271362" w:rsidRPr="00712C92" w:rsidRDefault="00271362" w:rsidP="0027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05EE4" w14:textId="77777777" w:rsidR="00956FBA" w:rsidRPr="00956FBA" w:rsidRDefault="00956FBA" w:rsidP="00956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 xml:space="preserve">Как известно, Единый государственный реестр недвижимости (далее – ЕГРН) призван сформировать многоцелевую и многоуровневую систему качественной, надежной и достоверной информации о землях и объектах недвижимости [1]. Вместе с тем многие исследователи и практики указывают на низкое качество и надежность кадастровой информации в ЕГРН из-за наличия реестровых ошибок [2]. </w:t>
      </w:r>
    </w:p>
    <w:p w14:paraId="1144FCE4" w14:textId="77777777" w:rsidR="00271362" w:rsidRPr="00956FBA" w:rsidRDefault="00956FBA" w:rsidP="00956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>Для повышения качества кадастровых данных, уточнения границ и нормализации земельно-имущественных отношений ФГБУ «ФКП Росреестра» наделили дополнительными полномочиями, в том числе по выполнению кадастровых работ с целью исправления реестровых ошибок [3]. С 2018 года производится контроль межевания [4], а с середины 2021 г. уточнен порядок выявления и исправления реестровых ошибок [5].</w:t>
      </w:r>
    </w:p>
    <w:p w14:paraId="1EA662D0" w14:textId="77777777" w:rsidR="00956FBA" w:rsidRPr="00956FBA" w:rsidRDefault="00956FBA" w:rsidP="00956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 xml:space="preserve">Объектом исследования являются границы земельных участков в кадастре, а предметом – сопоставление способов сопряжения смежных границ ранее учтенных земельных участков в кадастре. </w:t>
      </w:r>
    </w:p>
    <w:p w14:paraId="702990F0" w14:textId="77777777" w:rsidR="00956FBA" w:rsidRPr="00956FBA" w:rsidRDefault="00956FBA" w:rsidP="00956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>Целью работы является исследование способов сопряжения смежных границ ранее учтенных земельных участков в кадастре.</w:t>
      </w:r>
    </w:p>
    <w:p w14:paraId="05AA3D0E" w14:textId="77777777" w:rsidR="00956FBA" w:rsidRPr="00956FBA" w:rsidRDefault="00956FBA" w:rsidP="00956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>Для достижения поставленной цели были сформулированы следующие задачи:</w:t>
      </w:r>
    </w:p>
    <w:p w14:paraId="6EF4EAEB" w14:textId="77777777" w:rsidR="00956FBA" w:rsidRPr="00956FBA" w:rsidRDefault="00956FBA" w:rsidP="00956FB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>проанализировать подходы сопряжения смежных границ земельных участков в кадастре в России и за рубежом;</w:t>
      </w:r>
    </w:p>
    <w:p w14:paraId="44E53959" w14:textId="77777777" w:rsidR="00956FBA" w:rsidRPr="00956FBA" w:rsidRDefault="00956FBA" w:rsidP="00956FB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>сопоставить способы сопряжения смежных ранее учтенных границ в кадастре.</w:t>
      </w:r>
    </w:p>
    <w:p w14:paraId="28D5EE77" w14:textId="77777777" w:rsidR="00956FBA" w:rsidRDefault="00956FBA" w:rsidP="00956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>Исследование опирается на поисковый метод и базовые положения проведения вычислительных экспериментов.</w:t>
      </w:r>
    </w:p>
    <w:p w14:paraId="322A0A9F" w14:textId="77777777" w:rsidR="00956FBA" w:rsidRPr="00956FBA" w:rsidRDefault="00956FBA" w:rsidP="00956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>По результатам 2022 года руководитель Федеральной службы государственной регистрации, кадастра и картографии (далее – Росреестр) Олег Скуфинский на пресс-конференции в ТАСС заявил, что за год было исправлено более 150 тысяч реестровых ошибок без привлечения средств правообладателей [</w:t>
      </w:r>
      <w:r w:rsidR="00987103">
        <w:rPr>
          <w:rFonts w:ascii="Times New Roman" w:hAnsi="Times New Roman" w:cs="Times New Roman"/>
          <w:sz w:val="24"/>
          <w:szCs w:val="24"/>
        </w:rPr>
        <w:t>6</w:t>
      </w:r>
      <w:r w:rsidRPr="00956FBA">
        <w:rPr>
          <w:rFonts w:ascii="Times New Roman" w:hAnsi="Times New Roman" w:cs="Times New Roman"/>
          <w:sz w:val="24"/>
          <w:szCs w:val="24"/>
        </w:rPr>
        <w:t xml:space="preserve">]. Также, Скуфинский отметил, что в кадастровых базах накопилось порядка 8,5 миллионов реестровых ошибок, работа по исключению которых остается одним из приоритетных направлений деятельности Росреестра. </w:t>
      </w:r>
    </w:p>
    <w:p w14:paraId="11E642DE" w14:textId="77777777" w:rsidR="00956FBA" w:rsidRPr="00E02887" w:rsidRDefault="00956FBA" w:rsidP="00E02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BA">
        <w:rPr>
          <w:rFonts w:ascii="Times New Roman" w:hAnsi="Times New Roman" w:cs="Times New Roman"/>
          <w:sz w:val="24"/>
          <w:szCs w:val="24"/>
        </w:rPr>
        <w:t xml:space="preserve">Данная проблема, а, вследствие, тема для исследования не обошла и зарубежные страны. </w:t>
      </w:r>
      <w:r w:rsidR="00E02887" w:rsidRPr="00E02887">
        <w:rPr>
          <w:rFonts w:ascii="Times New Roman" w:hAnsi="Times New Roman" w:cs="Times New Roman"/>
          <w:sz w:val="24"/>
          <w:szCs w:val="24"/>
        </w:rPr>
        <w:t>За рубежом для сопряжения смежных границ земельных участков, определенных в разных проектах межевания, ошибки координат которых находятся в допустимой области, применяют усовершенствованный способ Гельмерта и комбинированный метод наименьших квадратов с дополнительными геометрическими условиями.</w:t>
      </w:r>
    </w:p>
    <w:p w14:paraId="499FEE9A" w14:textId="77777777" w:rsidR="00712C92" w:rsidRPr="00712C92" w:rsidRDefault="00712C92" w:rsidP="00712C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C92">
        <w:rPr>
          <w:rFonts w:ascii="Times New Roman" w:hAnsi="Times New Roman" w:cs="Times New Roman"/>
          <w:sz w:val="24"/>
          <w:szCs w:val="24"/>
        </w:rPr>
        <w:t>В положениях статьи 61 Закона о государственной регистрации недвижимости приводится определение реестровой ошибки –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кадастровым инженером или ошибка, содержащаяся в документах, направленных или представл</w:t>
      </w:r>
      <w:r w:rsidR="00987103">
        <w:rPr>
          <w:rFonts w:ascii="Times New Roman" w:hAnsi="Times New Roman" w:cs="Times New Roman"/>
          <w:sz w:val="24"/>
          <w:szCs w:val="24"/>
        </w:rPr>
        <w:t>енных в орган регистрации прав</w:t>
      </w:r>
      <w:r w:rsidR="000F498E" w:rsidRPr="000F498E">
        <w:rPr>
          <w:rFonts w:ascii="Times New Roman" w:hAnsi="Times New Roman" w:cs="Times New Roman"/>
          <w:sz w:val="24"/>
          <w:szCs w:val="24"/>
        </w:rPr>
        <w:t xml:space="preserve"> [1]</w:t>
      </w:r>
      <w:r w:rsidRPr="00712C92">
        <w:rPr>
          <w:rFonts w:ascii="Times New Roman" w:hAnsi="Times New Roman" w:cs="Times New Roman"/>
          <w:sz w:val="24"/>
          <w:szCs w:val="24"/>
        </w:rPr>
        <w:t>.</w:t>
      </w:r>
    </w:p>
    <w:p w14:paraId="17916D61" w14:textId="77777777" w:rsidR="00956FBA" w:rsidRDefault="00712C92" w:rsidP="00712C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12C92">
        <w:rPr>
          <w:rFonts w:ascii="Times New Roman" w:hAnsi="Times New Roman" w:cs="Times New Roman"/>
          <w:sz w:val="24"/>
          <w:szCs w:val="24"/>
        </w:rPr>
        <w:t xml:space="preserve">Изучая публичную кадастровую карту, можно наткнуться на ошибки, которые иногда не только не отражают реальное местоположение границ, но и полностью дезинформируют собственников. </w:t>
      </w:r>
    </w:p>
    <w:p w14:paraId="411DD723" w14:textId="77777777" w:rsidR="00834A29" w:rsidRPr="00834A29" w:rsidRDefault="00834A29" w:rsidP="00834A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A2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подзаконных актов и нормативно-технических документов показал, что решение вопроса о сопряжении границ в кадастре можно разделить на два периода:</w:t>
      </w:r>
    </w:p>
    <w:p w14:paraId="30D33CB2" w14:textId="77777777" w:rsidR="00834A29" w:rsidRPr="00834A29" w:rsidRDefault="00834A29" w:rsidP="00834A2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A29">
        <w:rPr>
          <w:rFonts w:ascii="Times New Roman" w:eastAsia="Times New Roman" w:hAnsi="Times New Roman" w:cs="Times New Roman"/>
          <w:sz w:val="24"/>
          <w:szCs w:val="24"/>
        </w:rPr>
        <w:t>с 1996 по 2012 гг. – «Правила предпочтения по дате»:</w:t>
      </w:r>
    </w:p>
    <w:p w14:paraId="32CC507B" w14:textId="77777777" w:rsidR="00834A29" w:rsidRPr="00834A29" w:rsidRDefault="00834A29" w:rsidP="00834A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85406" w14:textId="77777777" w:rsidR="00834A29" w:rsidRPr="00834A29" w:rsidRDefault="00834A29" w:rsidP="00741A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4A2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Pr="00295C6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834A2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834A29">
        <w:rPr>
          <w:rFonts w:ascii="Times New Roman" w:eastAsiaTheme="minorEastAsia" w:hAnsi="Times New Roman" w:cs="Times New Roman"/>
          <w:position w:val="-36"/>
          <w:sz w:val="24"/>
          <w:szCs w:val="24"/>
        </w:rPr>
        <w:object w:dxaOrig="2299" w:dyaOrig="859" w14:anchorId="2155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4.25pt" o:ole="">
            <v:imagedata r:id="rId5" o:title=""/>
          </v:shape>
          <o:OLEObject Type="Embed" ProgID="Equation.DSMT4" ShapeID="_x0000_i1025" DrawAspect="Content" ObjectID="_1744030296" r:id="rId6"/>
        </w:object>
      </w:r>
      <w:r w:rsidRPr="00834A2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387E2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834A2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834A2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E02887">
        <w:rPr>
          <w:rFonts w:ascii="Times New Roman" w:eastAsiaTheme="minorEastAsia" w:hAnsi="Times New Roman" w:cs="Times New Roman"/>
          <w:sz w:val="24"/>
          <w:szCs w:val="24"/>
        </w:rPr>
        <w:t xml:space="preserve">  (1</w:t>
      </w:r>
      <w:r w:rsidRPr="00834A2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2FC661D" w14:textId="77777777" w:rsidR="00834A29" w:rsidRPr="00834A29" w:rsidRDefault="00834A29" w:rsidP="00834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E62AA6" w14:textId="77777777" w:rsidR="00834A29" w:rsidRPr="00834A29" w:rsidRDefault="00834A29" w:rsidP="00834A2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834A29">
        <w:rPr>
          <w:rFonts w:ascii="Times New Roman" w:eastAsiaTheme="minorEastAsia" w:hAnsi="Times New Roman" w:cs="Times New Roman"/>
          <w:sz w:val="24"/>
          <w:szCs w:val="24"/>
        </w:rPr>
        <w:t>с 2012 по настоящее время – «Правила предпочтения по точности»:</w:t>
      </w:r>
    </w:p>
    <w:p w14:paraId="43FEDA0E" w14:textId="77777777" w:rsidR="00834A29" w:rsidRPr="00834A29" w:rsidRDefault="00834A29" w:rsidP="00834A29">
      <w:pPr>
        <w:tabs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001AF6" w14:textId="77777777" w:rsidR="00834A29" w:rsidRPr="00834A29" w:rsidRDefault="00834A29" w:rsidP="007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B2452">
        <w:rPr>
          <w:rFonts w:ascii="Times New Roman" w:hAnsi="Times New Roman" w:cs="Times New Roman"/>
          <w:sz w:val="24"/>
          <w:szCs w:val="24"/>
        </w:rPr>
        <w:t xml:space="preserve">  </w:t>
      </w:r>
      <w:r w:rsidRPr="00834A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A29">
        <w:rPr>
          <w:rFonts w:ascii="Times New Roman" w:eastAsiaTheme="minorEastAsia" w:hAnsi="Times New Roman" w:cs="Times New Roman"/>
          <w:position w:val="-42"/>
          <w:sz w:val="24"/>
          <w:szCs w:val="24"/>
        </w:rPr>
        <w:object w:dxaOrig="2700" w:dyaOrig="980" w14:anchorId="5F6E5BC9">
          <v:shape id="_x0000_i1026" type="#_x0000_t75" style="width:135pt;height:50.25pt" o:ole="">
            <v:imagedata r:id="rId7" o:title=""/>
          </v:shape>
          <o:OLEObject Type="Embed" ProgID="Equation.DSMT4" ShapeID="_x0000_i1026" DrawAspect="Content" ObjectID="_1744030297" r:id="rId8"/>
        </w:object>
      </w:r>
      <w:r w:rsidRPr="00834A2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387E2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834A2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834A29">
        <w:rPr>
          <w:rFonts w:ascii="Times New Roman" w:hAnsi="Times New Roman" w:cs="Times New Roman"/>
          <w:sz w:val="24"/>
          <w:szCs w:val="24"/>
        </w:rPr>
        <w:t xml:space="preserve">    (</w:t>
      </w:r>
      <w:r w:rsidR="00E02887">
        <w:rPr>
          <w:rFonts w:ascii="Times New Roman" w:hAnsi="Times New Roman" w:cs="Times New Roman"/>
          <w:sz w:val="24"/>
          <w:szCs w:val="24"/>
        </w:rPr>
        <w:t>2</w:t>
      </w:r>
      <w:r w:rsidRPr="00834A29">
        <w:rPr>
          <w:rFonts w:ascii="Times New Roman" w:hAnsi="Times New Roman" w:cs="Times New Roman"/>
          <w:sz w:val="24"/>
          <w:szCs w:val="24"/>
        </w:rPr>
        <w:t>)</w:t>
      </w:r>
    </w:p>
    <w:p w14:paraId="56171AF8" w14:textId="77777777" w:rsidR="00E02887" w:rsidRPr="00E02887" w:rsidRDefault="00E02887" w:rsidP="00E0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2807F" w14:textId="77777777" w:rsidR="00E02887" w:rsidRPr="00E02887" w:rsidRDefault="00E02887" w:rsidP="00E0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87">
        <w:rPr>
          <w:rFonts w:ascii="Times New Roman" w:hAnsi="Times New Roman" w:cs="Times New Roman"/>
          <w:sz w:val="24"/>
          <w:szCs w:val="24"/>
        </w:rPr>
        <w:t xml:space="preserve">где </w:t>
      </w:r>
      <w:r w:rsidRPr="00E0288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320" w:dyaOrig="380" w14:anchorId="27C404CA">
          <v:shape id="_x0000_i1027" type="#_x0000_t75" style="width:15pt;height:19.5pt" o:ole="">
            <v:imagedata r:id="rId9" o:title=""/>
          </v:shape>
          <o:OLEObject Type="Embed" ProgID="Equation.DSMT4" ShapeID="_x0000_i1027" DrawAspect="Content" ObjectID="_1744030298" r:id="rId10"/>
        </w:object>
      </w:r>
      <w:r w:rsidRPr="00E0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0288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360" w:dyaOrig="380" w14:anchorId="25F879E6">
          <v:shape id="_x0000_i1028" type="#_x0000_t75" style="width:17.25pt;height:19.5pt" o:ole="">
            <v:imagedata r:id="rId11" o:title=""/>
          </v:shape>
          <o:OLEObject Type="Embed" ProgID="Equation.DSMT4" ShapeID="_x0000_i1028" DrawAspect="Content" ObjectID="_1744030299" r:id="rId12"/>
        </w:object>
      </w:r>
      <w:r w:rsidRPr="00E02887">
        <w:rPr>
          <w:rFonts w:ascii="Times New Roman" w:hAnsi="Times New Roman" w:cs="Times New Roman"/>
          <w:sz w:val="24"/>
          <w:szCs w:val="24"/>
        </w:rPr>
        <w:t xml:space="preserve"> – векторы координат общей характерной точки на смежной границе, а </w:t>
      </w:r>
      <w:r w:rsidRPr="00E02887">
        <w:rPr>
          <w:rFonts w:ascii="Times New Roman" w:hAnsi="Times New Roman" w:cs="Times New Roman"/>
          <w:position w:val="-18"/>
          <w:sz w:val="24"/>
          <w:szCs w:val="24"/>
        </w:rPr>
        <w:object w:dxaOrig="480" w:dyaOrig="440" w14:anchorId="48692F17">
          <v:shape id="_x0000_i1029" type="#_x0000_t75" style="width:24pt;height:23.25pt" o:ole="">
            <v:imagedata r:id="rId13" o:title=""/>
          </v:shape>
          <o:OLEObject Type="Embed" ProgID="Equation.DSMT4" ShapeID="_x0000_i1029" DrawAspect="Content" ObjectID="_1744030300" r:id="rId14"/>
        </w:object>
      </w:r>
      <w:r w:rsidRPr="00E02887">
        <w:rPr>
          <w:rFonts w:ascii="Times New Roman" w:hAnsi="Times New Roman" w:cs="Times New Roman"/>
          <w:sz w:val="24"/>
          <w:szCs w:val="24"/>
        </w:rPr>
        <w:t xml:space="preserve"> и </w:t>
      </w:r>
      <w:r w:rsidRPr="00E02887">
        <w:rPr>
          <w:rFonts w:ascii="Times New Roman" w:hAnsi="Times New Roman" w:cs="Times New Roman"/>
          <w:position w:val="-18"/>
          <w:sz w:val="24"/>
          <w:szCs w:val="24"/>
        </w:rPr>
        <w:object w:dxaOrig="520" w:dyaOrig="440" w14:anchorId="06406A96">
          <v:shape id="_x0000_i1030" type="#_x0000_t75" style="width:27.75pt;height:23.25pt" o:ole="">
            <v:imagedata r:id="rId15" o:title=""/>
          </v:shape>
          <o:OLEObject Type="Embed" ProgID="Equation.DSMT4" ShapeID="_x0000_i1030" DrawAspect="Content" ObjectID="_1744030301" r:id="rId16"/>
        </w:object>
      </w:r>
      <w:r w:rsidRPr="00E028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02887">
        <w:rPr>
          <w:rFonts w:ascii="Times New Roman" w:hAnsi="Times New Roman" w:cs="Times New Roman"/>
          <w:sz w:val="24"/>
          <w:szCs w:val="24"/>
        </w:rPr>
        <w:t>– нормативная точность положения характерной точки</w:t>
      </w:r>
      <w:r w:rsidRPr="00E028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02887">
        <w:rPr>
          <w:rFonts w:ascii="Times New Roman" w:hAnsi="Times New Roman" w:cs="Times New Roman"/>
          <w:sz w:val="24"/>
          <w:szCs w:val="24"/>
        </w:rPr>
        <w:t xml:space="preserve">земельных участков № 1 (далее – ЗУ:1) и № 2 (далее – ЗУ:2); </w:t>
      </w:r>
      <w:r w:rsidRPr="00E02887">
        <w:rPr>
          <w:rFonts w:ascii="Times New Roman" w:hAnsi="Times New Roman" w:cs="Times New Roman"/>
          <w:position w:val="-12"/>
          <w:sz w:val="24"/>
          <w:szCs w:val="24"/>
        </w:rPr>
        <w:object w:dxaOrig="260" w:dyaOrig="380" w14:anchorId="7045BF2D">
          <v:shape id="_x0000_i1031" type="#_x0000_t75" style="width:12.75pt;height:19.5pt" o:ole="">
            <v:imagedata r:id="rId17" o:title=""/>
          </v:shape>
          <o:OLEObject Type="Embed" ProgID="Equation.DSMT4" ShapeID="_x0000_i1031" DrawAspect="Content" ObjectID="_1744030302" r:id="rId18"/>
        </w:object>
      </w:r>
      <w:r w:rsidRPr="00E02887">
        <w:rPr>
          <w:rFonts w:ascii="Times New Roman" w:hAnsi="Times New Roman" w:cs="Times New Roman"/>
          <w:sz w:val="24"/>
          <w:szCs w:val="24"/>
        </w:rPr>
        <w:t xml:space="preserve"> и </w:t>
      </w:r>
      <w:r w:rsidRPr="00E02887">
        <w:rPr>
          <w:rFonts w:ascii="Times New Roman" w:hAnsi="Times New Roman" w:cs="Times New Roman"/>
          <w:position w:val="-12"/>
          <w:sz w:val="24"/>
          <w:szCs w:val="24"/>
        </w:rPr>
        <w:object w:dxaOrig="300" w:dyaOrig="380" w14:anchorId="3EC41483">
          <v:shape id="_x0000_i1032" type="#_x0000_t75" style="width:15pt;height:19.5pt" o:ole="">
            <v:imagedata r:id="rId19" o:title=""/>
          </v:shape>
          <o:OLEObject Type="Embed" ProgID="Equation.DSMT4" ShapeID="_x0000_i1032" DrawAspect="Content" ObjectID="_1744030303" r:id="rId20"/>
        </w:object>
      </w:r>
      <w:r w:rsidRPr="00E02887">
        <w:rPr>
          <w:rFonts w:ascii="Times New Roman" w:hAnsi="Times New Roman" w:cs="Times New Roman"/>
          <w:sz w:val="24"/>
          <w:szCs w:val="24"/>
        </w:rPr>
        <w:t xml:space="preserve"> – дата постановки на кадастровый учет.</w:t>
      </w:r>
    </w:p>
    <w:p w14:paraId="76B87142" w14:textId="77777777" w:rsidR="00834A29" w:rsidRPr="00E02887" w:rsidRDefault="00834A29" w:rsidP="00E0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DEB1D" w14:textId="77777777" w:rsidR="00834A29" w:rsidRPr="00834A29" w:rsidRDefault="00834A29" w:rsidP="0083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Говоря про другие способы сопряжения, А.Г. Овчиникова предложила выполнять сопряжение смежных границ земельных участков по формуле</w:t>
      </w:r>
    </w:p>
    <w:p w14:paraId="08916E03" w14:textId="77777777" w:rsidR="00834A29" w:rsidRPr="00834A29" w:rsidRDefault="00834A29" w:rsidP="0083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61E97" w14:textId="77777777" w:rsidR="00834A29" w:rsidRPr="00834A29" w:rsidRDefault="00834A29" w:rsidP="00834A2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4A29">
        <w:rPr>
          <w:rFonts w:ascii="Times New Roman" w:hAnsi="Times New Roman" w:cs="Times New Roman"/>
          <w:position w:val="-48"/>
          <w:sz w:val="24"/>
          <w:szCs w:val="24"/>
        </w:rPr>
        <w:object w:dxaOrig="5640" w:dyaOrig="980" w14:anchorId="0353C67A">
          <v:shape id="_x0000_i1033" type="#_x0000_t75" style="width:280.5pt;height:49.5pt" o:ole="">
            <v:imagedata r:id="rId21" o:title=""/>
          </v:shape>
          <o:OLEObject Type="Embed" ProgID="Equation.DSMT4" ShapeID="_x0000_i1033" DrawAspect="Content" ObjectID="_1744030304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7E29">
        <w:rPr>
          <w:rFonts w:ascii="Times New Roman" w:hAnsi="Times New Roman" w:cs="Times New Roman"/>
          <w:sz w:val="24"/>
          <w:szCs w:val="24"/>
        </w:rPr>
        <w:t xml:space="preserve">  </w:t>
      </w:r>
      <w:r w:rsidR="00E02887">
        <w:rPr>
          <w:rFonts w:ascii="Times New Roman" w:hAnsi="Times New Roman" w:cs="Times New Roman"/>
          <w:sz w:val="24"/>
          <w:szCs w:val="24"/>
        </w:rPr>
        <w:t xml:space="preserve">        (3</w:t>
      </w:r>
      <w:r w:rsidRPr="00834A29">
        <w:rPr>
          <w:rFonts w:ascii="Times New Roman" w:hAnsi="Times New Roman" w:cs="Times New Roman"/>
          <w:sz w:val="24"/>
          <w:szCs w:val="24"/>
        </w:rPr>
        <w:t>)</w:t>
      </w:r>
    </w:p>
    <w:p w14:paraId="0D4054DC" w14:textId="77777777" w:rsidR="00834A29" w:rsidRPr="00834A29" w:rsidRDefault="00834A29" w:rsidP="0083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432C4" w14:textId="77777777" w:rsidR="00834A29" w:rsidRPr="00834A29" w:rsidRDefault="00834A29" w:rsidP="0083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Алгоритм «Среднее неравноточных, коррелированных данных», предложенный Калюжиным В.А. и Падве В.А в своей работе, может быть применен в более простых случаях:</w:t>
      </w:r>
    </w:p>
    <w:p w14:paraId="541C87E8" w14:textId="77777777" w:rsidR="00834A29" w:rsidRPr="00834A29" w:rsidRDefault="00834A29" w:rsidP="00834A2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когда координаты не коррелированы, но известна их неравноточность – «Средневзвешенное»:</w:t>
      </w:r>
    </w:p>
    <w:p w14:paraId="6596AF1D" w14:textId="77777777" w:rsidR="00834A29" w:rsidRPr="00834A29" w:rsidRDefault="00834A29" w:rsidP="00834A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D196" w14:textId="77777777" w:rsidR="00834A29" w:rsidRPr="00834A29" w:rsidRDefault="00834A29" w:rsidP="00387E29">
      <w:pPr>
        <w:pStyle w:val="a4"/>
        <w:tabs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87E29">
        <w:rPr>
          <w:rFonts w:ascii="Times New Roman" w:hAnsi="Times New Roman" w:cs="Times New Roman"/>
          <w:sz w:val="24"/>
          <w:szCs w:val="24"/>
        </w:rPr>
        <w:t xml:space="preserve">   </w:t>
      </w:r>
      <w:r w:rsidRPr="00834A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A29">
        <w:rPr>
          <w:rFonts w:ascii="Times New Roman" w:hAnsi="Times New Roman" w:cs="Times New Roman"/>
          <w:position w:val="-50"/>
          <w:sz w:val="24"/>
          <w:szCs w:val="24"/>
        </w:rPr>
        <w:object w:dxaOrig="3040" w:dyaOrig="1140" w14:anchorId="3FF1E47A">
          <v:shape id="_x0000_i1034" type="#_x0000_t75" style="width:152.25pt;height:57pt" o:ole="">
            <v:imagedata r:id="rId23" o:title=""/>
          </v:shape>
          <o:OLEObject Type="Embed" ProgID="Equation.DSMT4" ShapeID="_x0000_i1034" DrawAspect="Content" ObjectID="_1744030305" r:id="rId24"/>
        </w:object>
      </w:r>
      <w:r w:rsidRPr="00834A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7E29">
        <w:rPr>
          <w:rFonts w:ascii="Times New Roman" w:hAnsi="Times New Roman" w:cs="Times New Roman"/>
          <w:sz w:val="24"/>
          <w:szCs w:val="24"/>
        </w:rPr>
        <w:t xml:space="preserve">    </w:t>
      </w:r>
      <w:r w:rsidRPr="00834A29">
        <w:rPr>
          <w:rFonts w:ascii="Times New Roman" w:hAnsi="Times New Roman" w:cs="Times New Roman"/>
          <w:sz w:val="24"/>
          <w:szCs w:val="24"/>
        </w:rPr>
        <w:t xml:space="preserve"> </w:t>
      </w:r>
      <w:r w:rsidR="00387E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02887">
        <w:rPr>
          <w:rFonts w:ascii="Times New Roman" w:hAnsi="Times New Roman" w:cs="Times New Roman"/>
          <w:sz w:val="24"/>
          <w:szCs w:val="24"/>
        </w:rPr>
        <w:t xml:space="preserve">    (4</w:t>
      </w:r>
      <w:r w:rsidRPr="00834A29">
        <w:rPr>
          <w:rFonts w:ascii="Times New Roman" w:hAnsi="Times New Roman" w:cs="Times New Roman"/>
          <w:sz w:val="24"/>
          <w:szCs w:val="24"/>
        </w:rPr>
        <w:t>)</w:t>
      </w:r>
    </w:p>
    <w:p w14:paraId="131D5078" w14:textId="77777777" w:rsidR="00834A29" w:rsidRPr="00834A29" w:rsidRDefault="00834A29" w:rsidP="00834A2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A4D16D" w14:textId="77777777" w:rsidR="00834A29" w:rsidRPr="00834A29" w:rsidRDefault="00834A29" w:rsidP="00834A2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когда координаты равноточны – «Арифметическое среднее»:</w:t>
      </w:r>
    </w:p>
    <w:p w14:paraId="5C032786" w14:textId="77777777" w:rsidR="00834A29" w:rsidRPr="00834A29" w:rsidRDefault="00834A29" w:rsidP="00834A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103339" w14:textId="77777777" w:rsidR="00834A29" w:rsidRPr="00834A29" w:rsidRDefault="00834A29" w:rsidP="00387E29">
      <w:pPr>
        <w:pStyle w:val="a4"/>
        <w:tabs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28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A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A29">
        <w:rPr>
          <w:rFonts w:ascii="Times New Roman" w:hAnsi="Times New Roman" w:cs="Times New Roman"/>
          <w:position w:val="-26"/>
          <w:sz w:val="24"/>
          <w:szCs w:val="24"/>
        </w:rPr>
        <w:object w:dxaOrig="1760" w:dyaOrig="700" w14:anchorId="3DD6F1F7">
          <v:shape id="_x0000_i1035" type="#_x0000_t75" style="width:87.75pt;height:34.5pt" o:ole="">
            <v:imagedata r:id="rId25" o:title=""/>
          </v:shape>
          <o:OLEObject Type="Embed" ProgID="Equation.DSMT4" ShapeID="_x0000_i1035" DrawAspect="Content" ObjectID="_1744030306" r:id="rId26"/>
        </w:object>
      </w:r>
      <w:r w:rsidRPr="00834A2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7E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887">
        <w:rPr>
          <w:rFonts w:ascii="Times New Roman" w:hAnsi="Times New Roman" w:cs="Times New Roman"/>
          <w:sz w:val="24"/>
          <w:szCs w:val="24"/>
        </w:rPr>
        <w:t xml:space="preserve">           (5</w:t>
      </w:r>
      <w:r w:rsidRPr="00834A29">
        <w:rPr>
          <w:rFonts w:ascii="Times New Roman" w:hAnsi="Times New Roman" w:cs="Times New Roman"/>
          <w:sz w:val="24"/>
          <w:szCs w:val="24"/>
        </w:rPr>
        <w:t>)</w:t>
      </w:r>
    </w:p>
    <w:p w14:paraId="0889C8A2" w14:textId="77777777" w:rsidR="00834A29" w:rsidRPr="00834A29" w:rsidRDefault="00834A29" w:rsidP="00834A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A7CD" w14:textId="77777777" w:rsidR="00E02887" w:rsidRPr="00E02887" w:rsidRDefault="00834A29" w:rsidP="00987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Нами рассмотрены некоторые методы сопряжения смежных границ на примере двух неравноточных земельных участках: земель сельскохозяйственного назначения и земель населенных пунктов (далее – ЗУ:1 и ЗУ:2 соответственно). Для реализации поставленных задач нами исследованы «Правило предпочтения по дате» и «Правило предпочтения по точности», которые будем именовать в дальнейшем как «Правило 1» и «Правило 2» соответственно, а также метод сопряжения координат Овчинниковой, средневзвешенное и арифметическое среднее координат.</w:t>
      </w:r>
    </w:p>
    <w:p w14:paraId="1A4C2668" w14:textId="77777777" w:rsidR="00834A29" w:rsidRPr="00834A29" w:rsidRDefault="00834A29" w:rsidP="0083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проведения теоретических и экспериментальных исследований над не уравненными координатами, смоделированными методом Монте-Карло в 12 циклов, нами сделан следующий вывод:</w:t>
      </w:r>
    </w:p>
    <w:p w14:paraId="766A1741" w14:textId="77777777" w:rsidR="00834A29" w:rsidRPr="00834A29" w:rsidRDefault="00834A29" w:rsidP="00834A2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По «Правилу 1» точностные характеристики ЗУ:1 на границе допуска, при возникновении грубых ошибок в процессе полевых измерений появятся ошибки, несопоставимые с требованиями законодательства; для ЗУ:2 данный метод сопряжения максимально неэффективен;</w:t>
      </w:r>
    </w:p>
    <w:p w14:paraId="5F0B10A6" w14:textId="77777777" w:rsidR="00834A29" w:rsidRPr="00834A29" w:rsidRDefault="00834A29" w:rsidP="00834A2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«Метод сопряжения А.Г. Овчинниковой» не обеспечивает точности для ЗУ:2, требуемой законодателем. Связано это с использованием в формуле нормативных ошибок положения точек;</w:t>
      </w:r>
    </w:p>
    <w:p w14:paraId="468A89D8" w14:textId="77777777" w:rsidR="00834A29" w:rsidRPr="00834A29" w:rsidRDefault="00834A29" w:rsidP="00834A2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 xml:space="preserve">«Арифметическое среднее» не может быть использовано для сопряжения характерных точек неравноточных земельных участков, так как характеристики точности ЗУ:1 увеличились только за счет более высокой нормативно установленной точности ЗУ:2; </w:t>
      </w:r>
    </w:p>
    <w:p w14:paraId="4BD6FFA1" w14:textId="77777777" w:rsidR="00834A29" w:rsidRPr="00834A29" w:rsidRDefault="00834A29" w:rsidP="00834A2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A29">
        <w:rPr>
          <w:rFonts w:ascii="Times New Roman" w:hAnsi="Times New Roman" w:cs="Times New Roman"/>
          <w:sz w:val="24"/>
          <w:szCs w:val="24"/>
        </w:rPr>
        <w:t>«Правило 2» на данный момент представляется самым рациональным и эффективным методом сопряжения координат смежных характерных точек неравноточных земельных участков. Считаем целесообразным сравнить результаты данного метода с результатами метода «Средневзвешенное», так как это второй по точности метод, который обеспечил допустимые значения для двух земельных участков: для ЗУ:2 характеристики практически не изменились, а для ЗУ:1 использование «Правила 2» повысило точность определения координат характерных точек границ на 13 %.</w:t>
      </w:r>
    </w:p>
    <w:p w14:paraId="1219AD5D" w14:textId="77777777" w:rsidR="004B52B9" w:rsidRPr="0007572F" w:rsidRDefault="0007572F" w:rsidP="004B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2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E1C9582" w14:textId="77777777" w:rsidR="00E02887" w:rsidRPr="00E02887" w:rsidRDefault="00E02887" w:rsidP="00E0288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87">
        <w:rPr>
          <w:rFonts w:ascii="Times New Roman" w:hAnsi="Times New Roman" w:cs="Times New Roman"/>
          <w:sz w:val="24"/>
          <w:szCs w:val="24"/>
        </w:rPr>
        <w:t>Федеральный закон от 13.07.2015 N 218-ФЗ (ред. от 28.12.2022) «О государственной регистрации недвижимости» // Собрание законодательства РФ. – 2</w:t>
      </w:r>
      <w:r w:rsidR="00987103">
        <w:rPr>
          <w:rFonts w:ascii="Times New Roman" w:hAnsi="Times New Roman" w:cs="Times New Roman"/>
          <w:sz w:val="24"/>
          <w:szCs w:val="24"/>
        </w:rPr>
        <w:t>0.07.2015. № 29 (ч.1). ст. 4344;</w:t>
      </w:r>
    </w:p>
    <w:p w14:paraId="29A09C6E" w14:textId="77777777" w:rsidR="00E02887" w:rsidRPr="00E02887" w:rsidRDefault="00E02887" w:rsidP="00E0288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87">
        <w:rPr>
          <w:rFonts w:ascii="Times New Roman" w:hAnsi="Times New Roman" w:cs="Times New Roman"/>
          <w:sz w:val="24"/>
          <w:szCs w:val="24"/>
        </w:rPr>
        <w:t>Калюжин В.А., Падве В.А. Сопряжение координат характерных точек смежных границ земельных участков в кадастре // Известия вузов «Геодезия и аэрофотосъемка». 2022. Т. 66. № 1. С. 84-99. DOI:10.</w:t>
      </w:r>
      <w:r w:rsidR="00987103">
        <w:rPr>
          <w:rFonts w:ascii="Times New Roman" w:hAnsi="Times New Roman" w:cs="Times New Roman"/>
          <w:sz w:val="24"/>
          <w:szCs w:val="24"/>
        </w:rPr>
        <w:t>30533/0536-101X-2022-66-1-84-99;</w:t>
      </w:r>
    </w:p>
    <w:p w14:paraId="119DF9B6" w14:textId="77777777" w:rsidR="00E02887" w:rsidRPr="00E02887" w:rsidRDefault="00E02887" w:rsidP="00E0288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87">
        <w:rPr>
          <w:rFonts w:ascii="Times New Roman" w:hAnsi="Times New Roman" w:cs="Times New Roman"/>
          <w:sz w:val="24"/>
          <w:szCs w:val="24"/>
        </w:rPr>
        <w:t>О внесении изменений в Устав ФГБУ «ФКП Росреестра» [Электронный ресурс] :приказ Росреестра от 28.06.2017 № П/0302. – Доступ из справ.-право</w:t>
      </w:r>
      <w:r w:rsidR="00987103">
        <w:rPr>
          <w:rFonts w:ascii="Times New Roman" w:hAnsi="Times New Roman" w:cs="Times New Roman"/>
          <w:sz w:val="24"/>
          <w:szCs w:val="24"/>
        </w:rPr>
        <w:t>вой системы «Консуль-тантПлюс»;</w:t>
      </w:r>
    </w:p>
    <w:p w14:paraId="7481751C" w14:textId="77777777" w:rsidR="00E02887" w:rsidRPr="00E02887" w:rsidRDefault="00E02887" w:rsidP="00E0288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87">
        <w:rPr>
          <w:rFonts w:ascii="Times New Roman" w:hAnsi="Times New Roman" w:cs="Times New Roman"/>
          <w:sz w:val="24"/>
          <w:szCs w:val="24"/>
        </w:rPr>
        <w:t>Каверин Н.В. О совершенствовании кадастровой деятельности // Вестник С</w:t>
      </w:r>
      <w:r w:rsidR="00987103">
        <w:rPr>
          <w:rFonts w:ascii="Times New Roman" w:hAnsi="Times New Roman" w:cs="Times New Roman"/>
          <w:sz w:val="24"/>
          <w:szCs w:val="24"/>
        </w:rPr>
        <w:t>ГУГиТ– 2019. – №3. – С. 130-140;</w:t>
      </w:r>
    </w:p>
    <w:p w14:paraId="2576A3A4" w14:textId="77777777" w:rsidR="004B52B9" w:rsidRDefault="00E02887" w:rsidP="00987103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87">
        <w:rPr>
          <w:rFonts w:ascii="Times New Roman" w:hAnsi="Times New Roman" w:cs="Times New Roman"/>
          <w:sz w:val="24"/>
          <w:szCs w:val="24"/>
        </w:rPr>
        <w:t>Приказ Росреестра от 01.06.2021 № П/0241 "Об установлении порядка ведения Единого государственного реестра недвижимости– Доступ из справ.-правовой системы «Консу</w:t>
      </w:r>
      <w:r w:rsidR="00987103">
        <w:rPr>
          <w:rFonts w:ascii="Times New Roman" w:hAnsi="Times New Roman" w:cs="Times New Roman"/>
          <w:sz w:val="24"/>
          <w:szCs w:val="24"/>
        </w:rPr>
        <w:t>ль-тантПлюс»;</w:t>
      </w:r>
    </w:p>
    <w:p w14:paraId="537096C8" w14:textId="77777777" w:rsidR="00987103" w:rsidRPr="00E02887" w:rsidRDefault="00987103" w:rsidP="00987103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103">
        <w:rPr>
          <w:rFonts w:ascii="Times New Roman" w:hAnsi="Times New Roman" w:cs="Times New Roman"/>
          <w:sz w:val="24"/>
          <w:szCs w:val="24"/>
        </w:rPr>
        <w:t>Рамблер/финансы : сайт. Москва, 1996. – URL : https://finance.rambler.ru/realty/49942977-rosreestr-v-2022-godu-ispravil-bolee-150-tys-reestrovyh</w:t>
      </w:r>
      <w:r>
        <w:rPr>
          <w:rFonts w:ascii="Times New Roman" w:hAnsi="Times New Roman" w:cs="Times New Roman"/>
          <w:sz w:val="24"/>
          <w:szCs w:val="24"/>
        </w:rPr>
        <w:t>-oshibok/ (дата обращения: 29.03</w:t>
      </w:r>
      <w:r w:rsidRPr="00987103">
        <w:rPr>
          <w:rFonts w:ascii="Times New Roman" w:hAnsi="Times New Roman" w:cs="Times New Roman"/>
          <w:sz w:val="24"/>
          <w:szCs w:val="24"/>
        </w:rPr>
        <w:t>.2023) – Режим доступа : с</w:t>
      </w:r>
      <w:r>
        <w:rPr>
          <w:rFonts w:ascii="Times New Roman" w:hAnsi="Times New Roman" w:cs="Times New Roman"/>
          <w:sz w:val="24"/>
          <w:szCs w:val="24"/>
        </w:rPr>
        <w:t>вободный. – Текст : электронный.</w:t>
      </w:r>
    </w:p>
    <w:sectPr w:rsidR="00987103" w:rsidRPr="00E02887" w:rsidSect="0027136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44A"/>
    <w:multiLevelType w:val="hybridMultilevel"/>
    <w:tmpl w:val="DB888CB8"/>
    <w:lvl w:ilvl="0" w:tplc="453C870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25CFE"/>
    <w:multiLevelType w:val="hybridMultilevel"/>
    <w:tmpl w:val="3E9428EA"/>
    <w:lvl w:ilvl="0" w:tplc="86CA85B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C6E0BDA"/>
    <w:multiLevelType w:val="hybridMultilevel"/>
    <w:tmpl w:val="9E686C1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525842AC"/>
    <w:multiLevelType w:val="hybridMultilevel"/>
    <w:tmpl w:val="7474FE48"/>
    <w:lvl w:ilvl="0" w:tplc="CA8CD8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8D73E94"/>
    <w:multiLevelType w:val="hybridMultilevel"/>
    <w:tmpl w:val="FDE49FF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466826181">
    <w:abstractNumId w:val="4"/>
  </w:num>
  <w:num w:numId="2" w16cid:durableId="1224833563">
    <w:abstractNumId w:val="1"/>
  </w:num>
  <w:num w:numId="3" w16cid:durableId="309942066">
    <w:abstractNumId w:val="3"/>
  </w:num>
  <w:num w:numId="4" w16cid:durableId="1351948179">
    <w:abstractNumId w:val="0"/>
  </w:num>
  <w:num w:numId="5" w16cid:durableId="11603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1C"/>
    <w:rsid w:val="0007572F"/>
    <w:rsid w:val="000F498E"/>
    <w:rsid w:val="00271362"/>
    <w:rsid w:val="00295C60"/>
    <w:rsid w:val="00353E1C"/>
    <w:rsid w:val="00387E29"/>
    <w:rsid w:val="003B3820"/>
    <w:rsid w:val="003C15FA"/>
    <w:rsid w:val="00412FFA"/>
    <w:rsid w:val="004B52B9"/>
    <w:rsid w:val="006D62F2"/>
    <w:rsid w:val="00712C92"/>
    <w:rsid w:val="00741A3D"/>
    <w:rsid w:val="007B2452"/>
    <w:rsid w:val="00834A29"/>
    <w:rsid w:val="00956FBA"/>
    <w:rsid w:val="00987103"/>
    <w:rsid w:val="00D6549F"/>
    <w:rsid w:val="00E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0FA667B"/>
  <w15:chartTrackingRefBased/>
  <w15:docId w15:val="{AD6EACBF-1411-49AB-9146-DCB15347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3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Каленская</dc:creator>
  <cp:keywords/>
  <dc:description/>
  <cp:lastModifiedBy>Пользователь</cp:lastModifiedBy>
  <cp:revision>10</cp:revision>
  <dcterms:created xsi:type="dcterms:W3CDTF">2023-04-12T07:10:00Z</dcterms:created>
  <dcterms:modified xsi:type="dcterms:W3CDTF">2023-04-26T09:05:00Z</dcterms:modified>
</cp:coreProperties>
</file>