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80BC" w14:textId="5757B638" w:rsidR="00682A7A" w:rsidRPr="00812DBD" w:rsidRDefault="00E043B2" w:rsidP="00682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С</w:t>
      </w:r>
      <w:r w:rsidR="00F4698C" w:rsidRPr="00F4698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лоисты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е</w:t>
      </w:r>
      <w:r w:rsidR="00F4698C" w:rsidRPr="00F4698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гидроксид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ы</w:t>
      </w:r>
      <w:r w:rsidR="00F4698C" w:rsidRPr="00F4698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европия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и гадолиния для </w:t>
      </w:r>
      <w:r w:rsidR="00F4698C" w:rsidRPr="00F4698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доставки лекарств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и визуализации</w:t>
      </w:r>
    </w:p>
    <w:p w14:paraId="51356F6F" w14:textId="47EB93DB" w:rsidR="00682A7A" w:rsidRPr="00812DBD" w:rsidRDefault="00AD0C56" w:rsidP="00682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Ли Цзял</w:t>
      </w:r>
      <w:r w:rsidR="00682A7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и</w:t>
      </w:r>
    </w:p>
    <w:p w14:paraId="0A00C593" w14:textId="3B40B6AD" w:rsidR="00682A7A" w:rsidRPr="00812DBD" w:rsidRDefault="00682A7A" w:rsidP="00682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12DBD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Студент</w:t>
      </w:r>
      <w:r w:rsidR="006C3731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,</w:t>
      </w:r>
      <w:r w:rsidRPr="00812DBD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1</w:t>
      </w:r>
      <w:r w:rsidRPr="00812DBD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 курс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 магистратуры</w:t>
      </w:r>
      <w:r w:rsidRPr="00812DBD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 </w:t>
      </w:r>
    </w:p>
    <w:p w14:paraId="5AA8607B" w14:textId="137C27A6" w:rsidR="00682A7A" w:rsidRDefault="00682A7A" w:rsidP="00682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</w:pPr>
      <w:r w:rsidRPr="00BC3129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Университет МГУ-ППИ в Шэньчж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э</w:t>
      </w:r>
      <w:r w:rsidRPr="00BC3129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не</w:t>
      </w:r>
      <w:r w:rsidR="006C3731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, Шэньчжэнь, Китай</w:t>
      </w:r>
    </w:p>
    <w:p w14:paraId="1D09C993" w14:textId="6DD1E187" w:rsidR="006C3731" w:rsidRPr="006C3731" w:rsidRDefault="006C3731" w:rsidP="00682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6C373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E-mail: </w:t>
      </w:r>
      <w:r w:rsidR="00A75298" w:rsidRPr="00A7529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lijl2@smbu.edu.cn</w:t>
      </w:r>
    </w:p>
    <w:p w14:paraId="088A44D9" w14:textId="1299F365" w:rsidR="00682A7A" w:rsidRPr="006C2DFD" w:rsidRDefault="00EC3678" w:rsidP="00682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EC367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Анионные неорганические слоистые материалы состоят в основном из положительно заряженных слоёв и отрицательно заряженных анионов между слоями. Среди многих анионных слоистых соединений</w:t>
      </w:r>
      <w:r w:rsidR="00167BD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EC367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слоистые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EC367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гидроксиды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редкоземельных элементов </w:t>
      </w:r>
      <w:r w:rsidRPr="00EC367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СГ РЗЭ</w:t>
      </w:r>
      <w:r w:rsidRPr="00EC367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 привлекли большое внимание благодаря</w:t>
      </w:r>
      <w:r w:rsidR="00167BD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="000725C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сочетанию</w:t>
      </w:r>
      <w:r w:rsidR="00167BD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="000725C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анио</w:t>
      </w:r>
      <w:r w:rsidR="00354680" w:rsidRPr="0035468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ионообменны</w:t>
      </w:r>
      <w:r w:rsidR="000725C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</w:t>
      </w:r>
      <w:r w:rsidR="00354680" w:rsidRPr="0035468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свойств и уникальных </w:t>
      </w:r>
      <w:r w:rsidR="0035468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люмин</w:t>
      </w:r>
      <w:r w:rsidR="00354680" w:rsidRPr="0035468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есцентных свойств редкоземельных ионов, что может иметь применение в широком ряде областей, таких как оптика, электричество, магнетизм и биомедицина.</w:t>
      </w:r>
      <w:r w:rsidR="0035468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="00167BD1" w:rsidRPr="00167BD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Напроксен и ибупрофен </w:t>
      </w:r>
      <w:r w:rsidR="00493D8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 </w:t>
      </w:r>
      <w:r w:rsidR="00493D8C" w:rsidRPr="00167BD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клинической практике </w:t>
      </w:r>
      <w:r w:rsidR="00493D8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используются</w:t>
      </w:r>
      <w:r w:rsidR="00493D8C" w:rsidRPr="00167BD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главным образом как анальгетики и противовоспалительные средства</w:t>
      </w:r>
      <w:r w:rsidR="00493D8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r w:rsidR="00493D8C" w:rsidRPr="00167BD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="00493D8C" w:rsidRPr="009B03E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Их плохая растворимость в воде и короткий период полувыведения </w:t>
      </w:r>
      <w:r w:rsidR="00493D8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создают ограничения для</w:t>
      </w:r>
      <w:r w:rsidR="00493D8C" w:rsidRPr="009B03E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применени</w:t>
      </w:r>
      <w:r w:rsidR="00493D8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я. Наличие в составе карбоксильных групп позволяет интеркалировать анионы ибупрофена и напроксена с слоистые гидроксиды </w:t>
      </w:r>
      <w:r w:rsidR="009B03E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РЗЭ</w:t>
      </w:r>
      <w:r w:rsidR="00493D8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 обеспечить их</w:t>
      </w:r>
      <w:r w:rsidR="00493D8C" w:rsidRPr="009B03E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контролируемое высвобождение</w:t>
      </w:r>
      <w:r w:rsidR="00493D8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</w:t>
      </w:r>
      <w:r w:rsidR="0088711B" w:rsidRPr="009B03E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улучшить </w:t>
      </w:r>
      <w:r w:rsidR="009B03E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их </w:t>
      </w:r>
      <w:r w:rsidR="0088711B" w:rsidRPr="009B03E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растворимость</w:t>
      </w:r>
      <w:r w:rsidR="00493D8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 В настоящее время существует всего несколько исследований таких процессов</w:t>
      </w:r>
      <w:r w:rsidR="0024249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="00242490" w:rsidRPr="006C373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[1, 2]</w:t>
      </w:r>
      <w:r w:rsidR="0088711B" w:rsidRPr="009B03E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14:paraId="27C01C68" w14:textId="3909094F" w:rsidR="00396905" w:rsidRDefault="00985194" w:rsidP="009851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</w:pPr>
      <w:r w:rsidRPr="00985194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Целью данной работы стал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о</w:t>
      </w:r>
      <w:r w:rsidRPr="00985194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 xml:space="preserve"> </w:t>
      </w:r>
      <w:r w:rsidR="00B33361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получение новых материалов на основе слоистых гидроксидов европия и гадолиния для достаки лекарств. Слоистые гидроксонитраты европия и гадолиния/европия (9/1) были синтезированы путем гидролиза нитратов соответсвующих РЗЭ при температуре 100</w:t>
      </w:r>
      <w:r w:rsidR="006C3731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 xml:space="preserve"> </w:t>
      </w:r>
      <w:r w:rsidR="00B33361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 xml:space="preserve">⁰С и </w:t>
      </w:r>
      <w:r w:rsidR="00B33361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pH</w:t>
      </w:r>
      <w:r w:rsidR="00B33361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 xml:space="preserve"> = 7. Последующая и</w:t>
      </w:r>
      <w:r w:rsidRPr="00985194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 xml:space="preserve">нтеркаляция </w:t>
      </w:r>
      <w:r w:rsidR="00F4698C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и</w:t>
      </w:r>
      <w:r w:rsidR="00F4698C" w:rsidRPr="00F4698C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бупрофен</w:t>
      </w:r>
      <w:r w:rsidR="00F4698C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-</w:t>
      </w:r>
      <w:r w:rsidR="00F4698C" w:rsidRPr="00F4698C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анион</w:t>
      </w:r>
      <w:r w:rsidR="00F4698C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а</w:t>
      </w:r>
      <w:r w:rsidRPr="00985194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 xml:space="preserve"> </w:t>
      </w:r>
      <w:r w:rsidR="00F4698C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 xml:space="preserve">и напроксен-аниона </w:t>
      </w:r>
      <w:r w:rsidRPr="00985194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в слоис</w:t>
      </w:r>
      <w:r w:rsidR="00F4698C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т</w:t>
      </w:r>
      <w:r w:rsidRPr="00985194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ы</w:t>
      </w:r>
      <w:r w:rsidR="00B33361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е</w:t>
      </w:r>
      <w:r w:rsidRPr="00985194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 xml:space="preserve"> гидроксонитрат</w:t>
      </w:r>
      <w:r w:rsidR="00B33361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ы РЗЭ проводилась при 60</w:t>
      </w:r>
      <w:r w:rsidR="006C3731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 xml:space="preserve"> </w:t>
      </w:r>
      <w:r w:rsidR="00B33361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⁰С</w:t>
      </w:r>
      <w:r w:rsidR="00B33361" w:rsidRPr="00B33361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 xml:space="preserve">. </w:t>
      </w:r>
      <w:r w:rsidR="00B33361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С</w:t>
      </w:r>
      <w:r w:rsidRPr="00985194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остав</w:t>
      </w:r>
      <w:r w:rsidR="00B33361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 xml:space="preserve"> полученных материалов был подтвержден </w:t>
      </w:r>
      <w:r w:rsidRPr="00985194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методами рентгенофазового анализа, ИК-</w:t>
      </w:r>
      <w:r w:rsidR="00B33361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 xml:space="preserve">спектроскопии, </w:t>
      </w:r>
      <w:r w:rsidR="00B33361" w:rsidRPr="00985194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люминесцентной спектроскопии</w:t>
      </w:r>
      <w:r w:rsidR="00B33361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 xml:space="preserve"> и рентгенофлюоресцентной спектроскопии. </w:t>
      </w:r>
    </w:p>
    <w:p w14:paraId="5CAB4F93" w14:textId="27B9EECB" w:rsidR="00682A7A" w:rsidRPr="00812DBD" w:rsidRDefault="00B33361" w:rsidP="009851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Кинетика деинтеркаляции ибупрофена и напроксена</w:t>
      </w:r>
      <w:r w:rsidR="0039690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 xml:space="preserve"> из слоистых соединений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 xml:space="preserve"> изучалась </w:t>
      </w:r>
      <w:r w:rsidR="00985194" w:rsidRPr="00985194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 xml:space="preserve"> </w:t>
      </w:r>
      <w:r w:rsidR="00396905" w:rsidRPr="007B1FEE">
        <w:rPr>
          <w:rFonts w:ascii="Times New Roman" w:eastAsia="Times New Roman" w:hAnsi="Times New Roman"/>
          <w:color w:val="000000"/>
          <w:sz w:val="24"/>
          <w:szCs w:val="24"/>
        </w:rPr>
        <w:t>in</w:t>
      </w:r>
      <w:r w:rsidR="00396905" w:rsidRPr="007B1FE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="00396905" w:rsidRPr="007B1FEE">
        <w:rPr>
          <w:rFonts w:ascii="Times New Roman" w:eastAsia="Times New Roman" w:hAnsi="Times New Roman"/>
          <w:color w:val="000000"/>
          <w:sz w:val="24"/>
          <w:szCs w:val="24"/>
        </w:rPr>
        <w:t>vitro</w:t>
      </w:r>
      <w:r w:rsidR="0039690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при температуре 37</w:t>
      </w:r>
      <w:r w:rsidR="006C373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="0039690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 xml:space="preserve">⁰С в фосфатном буфере </w:t>
      </w:r>
      <w:r w:rsidR="0039690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pH</w:t>
      </w:r>
      <w:r w:rsidR="0039690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 xml:space="preserve"> = 7,4.</w:t>
      </w:r>
      <w:r w:rsidR="0039690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="00396905" w:rsidRPr="007B1FE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="0039690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Измерения концентрации</w:t>
      </w:r>
      <w:r w:rsidR="00FC220C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 xml:space="preserve"> лекарств</w:t>
      </w:r>
      <w:r w:rsidR="0039690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 xml:space="preserve"> проводили</w:t>
      </w:r>
      <w:r w:rsidR="00FC220C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 xml:space="preserve"> с помощью УФ</w:t>
      </w:r>
      <w:r w:rsidR="0039690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-</w:t>
      </w:r>
      <w:r w:rsidR="00FC220C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вид</w:t>
      </w:r>
      <w:r w:rsidR="0039690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.</w:t>
      </w:r>
      <w:r w:rsidR="00FC220C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 xml:space="preserve"> </w:t>
      </w:r>
      <w:r w:rsidR="0039690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спектроскопии</w:t>
      </w:r>
      <w:r w:rsidR="00985194" w:rsidRPr="00985194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.</w:t>
      </w:r>
      <w:r w:rsidR="0039690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 xml:space="preserve"> </w:t>
      </w:r>
      <w:r w:rsidR="0039690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="007B1FEE" w:rsidRPr="007B1FE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олученные </w:t>
      </w:r>
      <w:r w:rsidR="0039690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материалы</w:t>
      </w:r>
      <w:r w:rsidR="007B1FEE" w:rsidRPr="007B1FE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="0039690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показывают устойчивое </w:t>
      </w:r>
      <w:r w:rsidR="007B1FEE" w:rsidRPr="007B1FE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высвобожд</w:t>
      </w:r>
      <w:r w:rsidR="0039690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ение ибупрофена и напроксена в течение шести часов после начала эксперимента, затем концентрация лекарств в растворе продолжает медленно увеличиваться в течение нескольких суток. Исследование люминесценции </w:t>
      </w:r>
      <w:r w:rsidR="007B1FEE" w:rsidRPr="007B1FE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показа</w:t>
      </w:r>
      <w:r w:rsidR="0039690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л</w:t>
      </w:r>
      <w:r w:rsidR="007B1FEE" w:rsidRPr="007B1FE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о, что напроксен</w:t>
      </w:r>
      <w:r w:rsidR="007B1FE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-анион</w:t>
      </w:r>
      <w:r w:rsidR="007B1FEE" w:rsidRPr="007B1FE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способен более эффективно действовать в качестве антенного лиганда и сенсибилизировать </w:t>
      </w:r>
      <w:r w:rsidR="007B1FE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люмин</w:t>
      </w:r>
      <w:r w:rsidR="007B1FEE" w:rsidRPr="007B1FE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есценцию ионов европия по сравнению с ибупрофен</w:t>
      </w:r>
      <w:r w:rsidR="007B1FE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-анион</w:t>
      </w:r>
      <w:r w:rsidR="007B1FEE" w:rsidRPr="007B1FE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ом. </w:t>
      </w:r>
      <w:r w:rsidR="0039690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Полученные данные показывают</w:t>
      </w:r>
      <w:r w:rsidR="007B1FEE" w:rsidRPr="007B1FE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что </w:t>
      </w:r>
      <w:r w:rsidR="00493D8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синтезированные</w:t>
      </w:r>
      <w:r w:rsidR="007B1FEE" w:rsidRPr="007B1FE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 данной работе </w:t>
      </w:r>
      <w:r w:rsidR="00493D8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материалы</w:t>
      </w:r>
      <w:r w:rsidR="007B1FEE" w:rsidRPr="007B1FE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имеют потенциал для использования в качестве систем</w:t>
      </w:r>
      <w:r w:rsidR="007B1FE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ы</w:t>
      </w:r>
      <w:r w:rsidR="007B1FEE" w:rsidRPr="007B1FE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доставки лекарств</w:t>
      </w:r>
      <w:r w:rsidR="00493D8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</w:t>
      </w:r>
      <w:r w:rsidR="007B1FEE" w:rsidRPr="007B1FE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функци</w:t>
      </w:r>
      <w:r w:rsidR="00493D8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ей</w:t>
      </w:r>
      <w:r w:rsidR="007B1FEE" w:rsidRPr="007B1FE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="007B1FE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люмин</w:t>
      </w:r>
      <w:r w:rsidR="007B1FEE" w:rsidRPr="007B1FE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есцентных маркеров.</w:t>
      </w:r>
      <w:r w:rsidR="007B1FE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3318ABC5" w14:textId="77777777" w:rsidR="00682A7A" w:rsidRPr="00126F38" w:rsidRDefault="00682A7A" w:rsidP="00682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12DBD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Литература</w:t>
      </w:r>
    </w:p>
    <w:p w14:paraId="70C5F160" w14:textId="4F05CC2D" w:rsidR="00126F38" w:rsidRDefault="00682A7A" w:rsidP="00126F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126F38"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r w:rsidR="00126F38" w:rsidRPr="00126F38">
        <w:rPr>
          <w:rFonts w:ascii="Times New Roman" w:eastAsia="Times New Roman" w:hAnsi="Times New Roman"/>
          <w:color w:val="000000"/>
          <w:sz w:val="24"/>
          <w:szCs w:val="24"/>
        </w:rPr>
        <w:t xml:space="preserve">Xu, </w:t>
      </w:r>
      <w:r w:rsidR="00126F38">
        <w:rPr>
          <w:rFonts w:ascii="Times New Roman" w:eastAsia="Times New Roman" w:hAnsi="Times New Roman"/>
          <w:color w:val="000000"/>
          <w:sz w:val="24"/>
          <w:szCs w:val="24"/>
        </w:rPr>
        <w:t xml:space="preserve">Y., </w:t>
      </w:r>
      <w:r w:rsidR="00126F38" w:rsidRPr="00126F38">
        <w:rPr>
          <w:rFonts w:ascii="Times New Roman" w:eastAsia="Times New Roman" w:hAnsi="Times New Roman"/>
          <w:color w:val="000000"/>
          <w:sz w:val="24"/>
          <w:szCs w:val="24"/>
        </w:rPr>
        <w:t>Goyanes,</w:t>
      </w:r>
      <w:r w:rsidR="00126F38">
        <w:rPr>
          <w:rFonts w:ascii="Times New Roman" w:eastAsia="Times New Roman" w:hAnsi="Times New Roman"/>
          <w:color w:val="000000"/>
          <w:sz w:val="24"/>
          <w:szCs w:val="24"/>
        </w:rPr>
        <w:t xml:space="preserve"> A.,</w:t>
      </w:r>
      <w:r w:rsidR="00126F38" w:rsidRPr="00126F38">
        <w:rPr>
          <w:rFonts w:ascii="Times New Roman" w:eastAsia="Times New Roman" w:hAnsi="Times New Roman"/>
          <w:color w:val="000000"/>
          <w:sz w:val="24"/>
          <w:szCs w:val="24"/>
        </w:rPr>
        <w:t xml:space="preserve"> Wang,</w:t>
      </w:r>
      <w:r w:rsidR="00126F38">
        <w:rPr>
          <w:rFonts w:ascii="Times New Roman" w:eastAsia="Times New Roman" w:hAnsi="Times New Roman"/>
          <w:color w:val="000000"/>
          <w:sz w:val="24"/>
          <w:szCs w:val="24"/>
        </w:rPr>
        <w:t xml:space="preserve"> Y., </w:t>
      </w:r>
      <w:r w:rsidR="00126F38" w:rsidRPr="00126F38">
        <w:rPr>
          <w:rFonts w:ascii="Times New Roman" w:eastAsia="Times New Roman" w:hAnsi="Times New Roman"/>
          <w:color w:val="000000"/>
          <w:sz w:val="24"/>
          <w:szCs w:val="24"/>
        </w:rPr>
        <w:t>Weston,</w:t>
      </w:r>
      <w:r w:rsidR="00126F38">
        <w:rPr>
          <w:rFonts w:ascii="Times New Roman" w:eastAsia="Times New Roman" w:hAnsi="Times New Roman"/>
          <w:color w:val="000000"/>
          <w:sz w:val="24"/>
          <w:szCs w:val="24"/>
        </w:rPr>
        <w:t xml:space="preserve"> A.,</w:t>
      </w:r>
      <w:r w:rsidR="00126F38" w:rsidRPr="00126F38">
        <w:rPr>
          <w:rFonts w:ascii="Times New Roman" w:eastAsia="Times New Roman" w:hAnsi="Times New Roman"/>
          <w:color w:val="000000"/>
          <w:sz w:val="24"/>
          <w:szCs w:val="24"/>
        </w:rPr>
        <w:t xml:space="preserve"> So, </w:t>
      </w:r>
      <w:r w:rsidR="00126F38">
        <w:rPr>
          <w:rFonts w:ascii="Times New Roman" w:eastAsia="Times New Roman" w:hAnsi="Times New Roman"/>
          <w:color w:val="000000"/>
          <w:sz w:val="24"/>
          <w:szCs w:val="24"/>
        </w:rPr>
        <w:t xml:space="preserve">P.-W., </w:t>
      </w:r>
      <w:r w:rsidR="00126F38" w:rsidRPr="00126F38">
        <w:rPr>
          <w:rFonts w:ascii="Times New Roman" w:eastAsia="Times New Roman" w:hAnsi="Times New Roman"/>
          <w:color w:val="000000"/>
          <w:sz w:val="24"/>
          <w:szCs w:val="24"/>
        </w:rPr>
        <w:t>Geraldes,</w:t>
      </w:r>
      <w:r w:rsidR="00126F38">
        <w:rPr>
          <w:rFonts w:ascii="Times New Roman" w:eastAsia="Times New Roman" w:hAnsi="Times New Roman"/>
          <w:color w:val="000000"/>
          <w:sz w:val="24"/>
          <w:szCs w:val="24"/>
        </w:rPr>
        <w:t xml:space="preserve"> C.,</w:t>
      </w:r>
      <w:r w:rsidR="00126F38" w:rsidRPr="00126F38">
        <w:rPr>
          <w:rFonts w:ascii="Times New Roman" w:eastAsia="Times New Roman" w:hAnsi="Times New Roman"/>
          <w:color w:val="000000"/>
          <w:sz w:val="24"/>
          <w:szCs w:val="24"/>
        </w:rPr>
        <w:t xml:space="preserve"> Fogg,</w:t>
      </w:r>
      <w:r w:rsidR="00126F38">
        <w:rPr>
          <w:rFonts w:ascii="Times New Roman" w:eastAsia="Times New Roman" w:hAnsi="Times New Roman"/>
          <w:color w:val="000000"/>
          <w:sz w:val="24"/>
          <w:szCs w:val="24"/>
        </w:rPr>
        <w:t xml:space="preserve"> A., </w:t>
      </w:r>
      <w:r w:rsidR="00126F38" w:rsidRPr="00126F38">
        <w:rPr>
          <w:rFonts w:ascii="Times New Roman" w:eastAsia="Times New Roman" w:hAnsi="Times New Roman"/>
          <w:color w:val="000000"/>
          <w:sz w:val="24"/>
          <w:szCs w:val="24"/>
        </w:rPr>
        <w:t>Basita</w:t>
      </w:r>
      <w:r w:rsidR="00126F38">
        <w:rPr>
          <w:rFonts w:ascii="Times New Roman" w:eastAsia="Times New Roman" w:hAnsi="Times New Roman"/>
          <w:color w:val="000000"/>
          <w:sz w:val="24"/>
          <w:szCs w:val="24"/>
        </w:rPr>
        <w:t>, A.,</w:t>
      </w:r>
      <w:r w:rsidR="00126F38" w:rsidRPr="00126F38">
        <w:rPr>
          <w:rFonts w:ascii="Times New Roman" w:eastAsia="Times New Roman" w:hAnsi="Times New Roman"/>
          <w:color w:val="000000"/>
          <w:sz w:val="24"/>
          <w:szCs w:val="24"/>
        </w:rPr>
        <w:t xml:space="preserve"> Williams</w:t>
      </w:r>
      <w:r w:rsidR="00126F38">
        <w:rPr>
          <w:rFonts w:ascii="Times New Roman" w:eastAsia="Times New Roman" w:hAnsi="Times New Roman"/>
          <w:color w:val="000000"/>
          <w:sz w:val="24"/>
          <w:szCs w:val="24"/>
        </w:rPr>
        <w:t>, G.</w:t>
      </w:r>
      <w:r w:rsidR="00126F38" w:rsidRPr="0024562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26F38" w:rsidRPr="00126F38">
        <w:rPr>
          <w:rFonts w:ascii="Times New Roman" w:eastAsia="Times New Roman" w:hAnsi="Times New Roman"/>
          <w:color w:val="000000"/>
          <w:sz w:val="24"/>
          <w:szCs w:val="24"/>
        </w:rPr>
        <w:t>Layered gadolinium hydroxides for simultaneous drug delivery and imaging</w:t>
      </w:r>
      <w:r w:rsidR="00126F3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26F38" w:rsidRPr="00C6038A">
        <w:rPr>
          <w:rFonts w:ascii="Times New Roman" w:eastAsia="Times New Roman" w:hAnsi="Times New Roman"/>
          <w:color w:val="000000"/>
          <w:sz w:val="24"/>
          <w:szCs w:val="24"/>
        </w:rPr>
        <w:t>//</w:t>
      </w:r>
      <w:r w:rsidR="00126F38" w:rsidRPr="0024562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26F38" w:rsidRPr="00126F38">
        <w:rPr>
          <w:rFonts w:ascii="Times New Roman" w:eastAsia="Times New Roman" w:hAnsi="Times New Roman"/>
          <w:color w:val="000000"/>
          <w:sz w:val="24"/>
          <w:szCs w:val="24"/>
        </w:rPr>
        <w:t>Dalton</w:t>
      </w:r>
      <w:r w:rsidR="00126F3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26F38" w:rsidRPr="00126F38">
        <w:rPr>
          <w:rFonts w:ascii="Times New Roman" w:eastAsia="Times New Roman" w:hAnsi="Times New Roman"/>
          <w:color w:val="000000"/>
          <w:sz w:val="24"/>
          <w:szCs w:val="24"/>
        </w:rPr>
        <w:t>Transactions</w:t>
      </w:r>
      <w:r w:rsidR="00126F38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126F38" w:rsidRPr="0024562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26F38" w:rsidRPr="00126F38">
        <w:rPr>
          <w:rFonts w:ascii="Times New Roman" w:eastAsia="Times New Roman" w:hAnsi="Times New Roman"/>
          <w:color w:val="000000"/>
          <w:sz w:val="24"/>
          <w:szCs w:val="24"/>
        </w:rPr>
        <w:t xml:space="preserve">2018, </w:t>
      </w:r>
      <w:r w:rsidR="00126F38">
        <w:rPr>
          <w:rFonts w:ascii="Times New Roman" w:eastAsia="Times New Roman" w:hAnsi="Times New Roman"/>
          <w:color w:val="000000"/>
          <w:sz w:val="24"/>
          <w:szCs w:val="24"/>
        </w:rPr>
        <w:t>№</w:t>
      </w:r>
      <w:r w:rsidR="00126F38" w:rsidRPr="00126F38">
        <w:rPr>
          <w:rFonts w:ascii="Times New Roman" w:eastAsia="Times New Roman" w:hAnsi="Times New Roman"/>
          <w:color w:val="000000"/>
          <w:sz w:val="24"/>
          <w:szCs w:val="24"/>
        </w:rPr>
        <w:t>47,</w:t>
      </w:r>
      <w:r w:rsidR="00126F38">
        <w:rPr>
          <w:rFonts w:ascii="Times New Roman" w:eastAsia="Times New Roman" w:hAnsi="Times New Roman"/>
          <w:color w:val="000000"/>
          <w:sz w:val="24"/>
          <w:szCs w:val="24"/>
        </w:rPr>
        <w:t xml:space="preserve"> p. </w:t>
      </w:r>
      <w:r w:rsidR="00126F38" w:rsidRPr="00126F38">
        <w:rPr>
          <w:rFonts w:ascii="Times New Roman" w:eastAsia="Times New Roman" w:hAnsi="Times New Roman"/>
          <w:color w:val="000000"/>
          <w:sz w:val="24"/>
          <w:szCs w:val="24"/>
        </w:rPr>
        <w:t>3166</w:t>
      </w:r>
      <w:r w:rsidR="00126F38" w:rsidRPr="0024562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37D71B85" w14:textId="38B5DD51" w:rsidR="00164411" w:rsidRPr="00126F38" w:rsidRDefault="00126F38" w:rsidP="000725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126F38"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r w:rsidR="000725C8" w:rsidRPr="000725C8">
        <w:rPr>
          <w:rFonts w:ascii="Times New Roman" w:eastAsia="Times New Roman" w:hAnsi="Times New Roman"/>
          <w:color w:val="000000"/>
          <w:sz w:val="24"/>
          <w:szCs w:val="24"/>
        </w:rPr>
        <w:t>Strimaite,</w:t>
      </w:r>
      <w:r w:rsidR="000725C8">
        <w:rPr>
          <w:rFonts w:ascii="Times New Roman" w:eastAsia="Times New Roman" w:hAnsi="Times New Roman"/>
          <w:color w:val="000000"/>
          <w:sz w:val="24"/>
          <w:szCs w:val="24"/>
        </w:rPr>
        <w:t xml:space="preserve"> M.,</w:t>
      </w:r>
      <w:r w:rsidR="000725C8" w:rsidRPr="000725C8">
        <w:rPr>
          <w:rFonts w:ascii="Times New Roman" w:eastAsia="Times New Roman" w:hAnsi="Times New Roman"/>
          <w:color w:val="000000"/>
          <w:sz w:val="24"/>
          <w:szCs w:val="24"/>
        </w:rPr>
        <w:t xml:space="preserve"> Harman, </w:t>
      </w:r>
      <w:r w:rsidR="000725C8">
        <w:rPr>
          <w:rFonts w:ascii="Times New Roman" w:eastAsia="Times New Roman" w:hAnsi="Times New Roman"/>
          <w:color w:val="000000"/>
          <w:sz w:val="24"/>
          <w:szCs w:val="24"/>
        </w:rPr>
        <w:t xml:space="preserve">C., </w:t>
      </w:r>
      <w:r w:rsidR="000725C8" w:rsidRPr="000725C8">
        <w:rPr>
          <w:rFonts w:ascii="Times New Roman" w:eastAsia="Times New Roman" w:hAnsi="Times New Roman"/>
          <w:color w:val="000000"/>
          <w:sz w:val="24"/>
          <w:szCs w:val="24"/>
        </w:rPr>
        <w:t>Duan,</w:t>
      </w:r>
      <w:r w:rsidR="000725C8">
        <w:rPr>
          <w:rFonts w:ascii="Times New Roman" w:eastAsia="Times New Roman" w:hAnsi="Times New Roman"/>
          <w:color w:val="000000"/>
          <w:sz w:val="24"/>
          <w:szCs w:val="24"/>
        </w:rPr>
        <w:t xml:space="preserve"> H.,</w:t>
      </w:r>
      <w:r w:rsidR="000725C8" w:rsidRPr="000725C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725C8" w:rsidRPr="00126F38">
        <w:rPr>
          <w:rFonts w:ascii="Times New Roman" w:eastAsia="Times New Roman" w:hAnsi="Times New Roman"/>
          <w:color w:val="000000"/>
          <w:sz w:val="24"/>
          <w:szCs w:val="24"/>
        </w:rPr>
        <w:t>Wang,</w:t>
      </w:r>
      <w:r w:rsidR="000725C8">
        <w:rPr>
          <w:rFonts w:ascii="Times New Roman" w:eastAsia="Times New Roman" w:hAnsi="Times New Roman"/>
          <w:color w:val="000000"/>
          <w:sz w:val="24"/>
          <w:szCs w:val="24"/>
        </w:rPr>
        <w:t xml:space="preserve"> Y., </w:t>
      </w:r>
      <w:r w:rsidR="000725C8" w:rsidRPr="000725C8">
        <w:rPr>
          <w:rFonts w:ascii="Times New Roman" w:eastAsia="Times New Roman" w:hAnsi="Times New Roman"/>
          <w:color w:val="000000"/>
          <w:sz w:val="24"/>
          <w:szCs w:val="24"/>
        </w:rPr>
        <w:t>Davies</w:t>
      </w:r>
      <w:r w:rsidR="000725C8">
        <w:rPr>
          <w:rFonts w:ascii="Times New Roman" w:eastAsia="Times New Roman" w:hAnsi="Times New Roman"/>
          <w:color w:val="000000"/>
          <w:sz w:val="24"/>
          <w:szCs w:val="24"/>
        </w:rPr>
        <w:t>, G.-L.,</w:t>
      </w:r>
      <w:r w:rsidR="000725C8" w:rsidRPr="000725C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725C8" w:rsidRPr="00126F38">
        <w:rPr>
          <w:rFonts w:ascii="Times New Roman" w:eastAsia="Times New Roman" w:hAnsi="Times New Roman"/>
          <w:color w:val="000000"/>
          <w:sz w:val="24"/>
          <w:szCs w:val="24"/>
        </w:rPr>
        <w:t>Williams</w:t>
      </w:r>
      <w:r w:rsidR="000725C8">
        <w:rPr>
          <w:rFonts w:ascii="Times New Roman" w:eastAsia="Times New Roman" w:hAnsi="Times New Roman"/>
          <w:color w:val="000000"/>
          <w:sz w:val="24"/>
          <w:szCs w:val="24"/>
        </w:rPr>
        <w:t>, G.</w:t>
      </w:r>
      <w:r w:rsidR="000725C8" w:rsidRPr="0024562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26F38">
        <w:rPr>
          <w:rFonts w:ascii="Times New Roman" w:eastAsia="Times New Roman" w:hAnsi="Times New Roman"/>
          <w:color w:val="000000"/>
          <w:sz w:val="24"/>
          <w:szCs w:val="24"/>
        </w:rPr>
        <w:t>Layered terbium hydroxides for simultaneous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26F38">
        <w:rPr>
          <w:rFonts w:ascii="Times New Roman" w:eastAsia="Times New Roman" w:hAnsi="Times New Roman"/>
          <w:color w:val="000000"/>
          <w:sz w:val="24"/>
          <w:szCs w:val="24"/>
        </w:rPr>
        <w:t>drug delivery and imaging</w:t>
      </w:r>
      <w:r w:rsidRPr="00C6038A">
        <w:rPr>
          <w:rFonts w:ascii="Times New Roman" w:eastAsia="Times New Roman" w:hAnsi="Times New Roman"/>
          <w:color w:val="000000"/>
          <w:sz w:val="24"/>
          <w:szCs w:val="24"/>
        </w:rPr>
        <w:t xml:space="preserve"> // </w:t>
      </w:r>
      <w:r w:rsidR="000725C8" w:rsidRPr="00126F38">
        <w:rPr>
          <w:rFonts w:ascii="Times New Roman" w:eastAsia="Times New Roman" w:hAnsi="Times New Roman"/>
          <w:color w:val="000000"/>
          <w:sz w:val="24"/>
          <w:szCs w:val="24"/>
        </w:rPr>
        <w:t>Dalton</w:t>
      </w:r>
      <w:r w:rsidR="000725C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725C8" w:rsidRPr="00126F38">
        <w:rPr>
          <w:rFonts w:ascii="Times New Roman" w:eastAsia="Times New Roman" w:hAnsi="Times New Roman"/>
          <w:color w:val="000000"/>
          <w:sz w:val="24"/>
          <w:szCs w:val="24"/>
        </w:rPr>
        <w:t>Transactions</w:t>
      </w:r>
      <w:r w:rsidR="000725C8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0725C8" w:rsidRPr="0024562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725C8" w:rsidRPr="00126F38">
        <w:rPr>
          <w:rFonts w:ascii="Times New Roman" w:eastAsia="Times New Roman" w:hAnsi="Times New Roman"/>
          <w:color w:val="000000"/>
          <w:sz w:val="24"/>
          <w:szCs w:val="24"/>
        </w:rPr>
        <w:t xml:space="preserve">2018, </w:t>
      </w:r>
      <w:r w:rsidR="000725C8">
        <w:rPr>
          <w:rFonts w:ascii="Times New Roman" w:eastAsia="Times New Roman" w:hAnsi="Times New Roman"/>
          <w:color w:val="000000"/>
          <w:sz w:val="24"/>
          <w:szCs w:val="24"/>
        </w:rPr>
        <w:t>№50</w:t>
      </w:r>
      <w:r w:rsidR="000725C8" w:rsidRPr="00126F38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0725C8">
        <w:rPr>
          <w:rFonts w:ascii="Times New Roman" w:eastAsia="Times New Roman" w:hAnsi="Times New Roman"/>
          <w:color w:val="000000"/>
          <w:sz w:val="24"/>
          <w:szCs w:val="24"/>
        </w:rPr>
        <w:t xml:space="preserve"> p. 10275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sectPr w:rsidR="00164411" w:rsidRPr="00126F38" w:rsidSect="00AD0C56">
      <w:footerReference w:type="default" r:id="rId6"/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EF87" w14:textId="77777777" w:rsidR="005E22F0" w:rsidRDefault="005E22F0">
      <w:r>
        <w:separator/>
      </w:r>
    </w:p>
  </w:endnote>
  <w:endnote w:type="continuationSeparator" w:id="0">
    <w:p w14:paraId="5B3D2076" w14:textId="77777777" w:rsidR="005E22F0" w:rsidRDefault="005E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CB08" w14:textId="77777777" w:rsidR="008539E6" w:rsidRDefault="00000000">
    <w:pPr>
      <w:pStyle w:val="a3"/>
      <w:jc w:val="right"/>
    </w:pPr>
    <w:r w:rsidRPr="000F57F5">
      <w:rPr>
        <w:rFonts w:ascii="Times New Roman" w:hAnsi="Times New Roman"/>
      </w:rPr>
      <w:fldChar w:fldCharType="begin"/>
    </w:r>
    <w:r w:rsidRPr="000F57F5">
      <w:rPr>
        <w:rFonts w:ascii="Times New Roman" w:hAnsi="Times New Roman"/>
      </w:rPr>
      <w:instrText>PAGE   \* MERGEFORMAT</w:instrText>
    </w:r>
    <w:r w:rsidRPr="000F57F5">
      <w:rPr>
        <w:rFonts w:ascii="Times New Roman" w:hAnsi="Times New Roman"/>
      </w:rPr>
      <w:fldChar w:fldCharType="separate"/>
    </w:r>
    <w:r w:rsidRPr="00F93F5E">
      <w:rPr>
        <w:rFonts w:ascii="Times New Roman" w:hAnsi="Times New Roman"/>
        <w:noProof/>
        <w:lang w:val="ru-RU"/>
      </w:rPr>
      <w:t>2</w:t>
    </w:r>
    <w:r w:rsidRPr="000F57F5">
      <w:rPr>
        <w:rFonts w:ascii="Times New Roman" w:hAnsi="Times New Roman"/>
      </w:rPr>
      <w:fldChar w:fldCharType="end"/>
    </w:r>
  </w:p>
  <w:p w14:paraId="055592CE" w14:textId="77777777" w:rsidR="009C5CF9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4670" w14:textId="77777777" w:rsidR="005E22F0" w:rsidRDefault="005E22F0">
      <w:r>
        <w:separator/>
      </w:r>
    </w:p>
  </w:footnote>
  <w:footnote w:type="continuationSeparator" w:id="0">
    <w:p w14:paraId="31CEEB33" w14:textId="77777777" w:rsidR="005E22F0" w:rsidRDefault="005E2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7A"/>
    <w:rsid w:val="000725C8"/>
    <w:rsid w:val="00126F38"/>
    <w:rsid w:val="00164411"/>
    <w:rsid w:val="00167BD1"/>
    <w:rsid w:val="00242490"/>
    <w:rsid w:val="00354680"/>
    <w:rsid w:val="00396905"/>
    <w:rsid w:val="00493D8C"/>
    <w:rsid w:val="005E22F0"/>
    <w:rsid w:val="00682A7A"/>
    <w:rsid w:val="006C2DFD"/>
    <w:rsid w:val="006C3731"/>
    <w:rsid w:val="007008DE"/>
    <w:rsid w:val="007B1FEE"/>
    <w:rsid w:val="007D0DD1"/>
    <w:rsid w:val="0088711B"/>
    <w:rsid w:val="00985194"/>
    <w:rsid w:val="009B03E5"/>
    <w:rsid w:val="00A577C0"/>
    <w:rsid w:val="00A75298"/>
    <w:rsid w:val="00AD0C56"/>
    <w:rsid w:val="00B33361"/>
    <w:rsid w:val="00CA4DE6"/>
    <w:rsid w:val="00CC3A46"/>
    <w:rsid w:val="00D2323C"/>
    <w:rsid w:val="00D31253"/>
    <w:rsid w:val="00D90BBF"/>
    <w:rsid w:val="00E043B2"/>
    <w:rsid w:val="00E6173C"/>
    <w:rsid w:val="00EC2CF4"/>
    <w:rsid w:val="00EC3678"/>
    <w:rsid w:val="00F4698C"/>
    <w:rsid w:val="00F76187"/>
    <w:rsid w:val="00FB44D1"/>
    <w:rsid w:val="00FC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F7E9B"/>
  <w15:chartTrackingRefBased/>
  <w15:docId w15:val="{40F5C0BD-3D3E-8D40-8449-B7DE5C79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A7A"/>
    <w:pPr>
      <w:widowControl w:val="0"/>
      <w:jc w:val="both"/>
    </w:pPr>
    <w:rPr>
      <w:rFonts w:ascii="Calibri" w:eastAsia="宋体" w:hAnsi="Calibri" w:cs="Times New Roman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82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82A7A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35468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54680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126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嘉莉</dc:creator>
  <cp:keywords/>
  <dc:description/>
  <cp:lastModifiedBy>李 嘉莉</cp:lastModifiedBy>
  <cp:revision>6</cp:revision>
  <dcterms:created xsi:type="dcterms:W3CDTF">2023-01-05T08:45:00Z</dcterms:created>
  <dcterms:modified xsi:type="dcterms:W3CDTF">2023-02-10T04:04:00Z</dcterms:modified>
</cp:coreProperties>
</file>