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</w:rPr>
        <w:t>Конференция «Ломоносов-202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>3</w:t>
      </w:r>
      <w:r>
        <w:rPr>
          <w:rFonts w:hint="default" w:ascii="Times New Roman Regular" w:hAnsi="Times New Roman Regular" w:eastAsia="宋体" w:cs="Times New Roman Regular"/>
          <w:sz w:val="24"/>
          <w:szCs w:val="24"/>
        </w:rPr>
        <w:t xml:space="preserve">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right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</w:rPr>
        <w:t xml:space="preserve">Секция «Экономика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>бизнес</w:t>
      </w:r>
      <w:r>
        <w:rPr>
          <w:rFonts w:hint="default" w:ascii="Times New Roman Regular" w:hAnsi="Times New Roman Regular" w:eastAsia="宋体" w:cs="Times New Roman Regular"/>
          <w:sz w:val="24"/>
          <w:szCs w:val="24"/>
        </w:rPr>
        <w:t xml:space="preserve">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ru-RU" w:eastAsia="zh-CN"/>
        </w:rPr>
        <w:t>Исследование по вопросу в</w:t>
      </w:r>
      <w:r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en-US" w:eastAsia="zh-CN"/>
        </w:rPr>
        <w:t>ведени</w:t>
      </w:r>
      <w:r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ru-RU" w:eastAsia="zh-CN"/>
        </w:rPr>
        <w:t>я</w:t>
      </w:r>
      <w:r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en-US" w:eastAsia="zh-CN"/>
        </w:rPr>
        <w:t xml:space="preserve"> углеродного налога в Китае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ru-RU"/>
        </w:rPr>
        <w:t xml:space="preserve"> Чэнь Сюецин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</w:rPr>
        <w:t>Аспирант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/>
        </w:rPr>
        <w:t xml:space="preserve"> 3-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>его курса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</w:rPr>
        <w:t>Российская академия народного хозяйства и государственной службы при Президенте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</w:rPr>
        <w:t xml:space="preserve">Российской Федерации,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</w:rPr>
        <w:t xml:space="preserve">Институт государственной службы и управления, Москва, Россия,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</w:rPr>
        <w:t>E-mail: chen2020chen@mail.ru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sz w:val="24"/>
          <w:szCs w:val="24"/>
        </w:rPr>
        <w:t>В контексте глобального перехода к низкоуглеродной экономике, Китай в 2020 году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 </w:t>
      </w:r>
      <w:r>
        <w:rPr>
          <w:rFonts w:hint="default" w:ascii="Times New Roman Regular" w:hAnsi="Times New Roman Regular" w:eastAsia="宋体"/>
          <w:sz w:val="24"/>
          <w:szCs w:val="24"/>
        </w:rPr>
        <w:t>поставил цель достичь "углеродного пика"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 до 2030 года</w:t>
      </w:r>
      <w:r>
        <w:rPr>
          <w:rFonts w:hint="default" w:ascii="Times New Roman Regular" w:hAnsi="Times New Roman Regular" w:eastAsia="宋体"/>
          <w:sz w:val="24"/>
          <w:szCs w:val="24"/>
        </w:rPr>
        <w:t xml:space="preserve"> и "углеродной нейтральности" 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до 2060 года.</w:t>
      </w:r>
      <w:r>
        <w:rPr>
          <w:rFonts w:hint="default" w:ascii="Times New Roman Regular" w:hAnsi="Times New Roman Regular" w:eastAsia="宋体"/>
          <w:sz w:val="24"/>
          <w:szCs w:val="24"/>
        </w:rPr>
        <w:t xml:space="preserve"> Китай находится на важном этапе экономической структурной трансформации, поэтому важной задачей стало то, как достичь перехода к низкоуглеродной энергетике в условиях успешной экономической структурной трансформации. Существующая в Китае система торговли углеродом была создана в последние годы, и из-за короткого периода времени и сложности механизма, механизм торговли углеродом все еще нуждается в совершенствовании. Чтобы быстрее достичь цели "углеродного пика" и "углеродной нейтральности", можно ввести налог на углерод, который дополнит существующий механизм торговли углеродом и совместно поможет сократить выбросы углекислого газа в качестве средства борьбы с изменением климата.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По вопросу налогообложения углерода ученые предлагают различные варианты в отношении объектов налогообложения, налоговых ставок, налоговой базы и др.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[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ru-RU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, 2, 4, 5, 6, 7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]. Наше</w:t>
      </w:r>
      <w:r>
        <w:rPr>
          <w:rFonts w:hint="default" w:ascii="Times New Roman Regular" w:hAnsi="Times New Roman Regular" w:eastAsia="宋体"/>
          <w:sz w:val="24"/>
          <w:szCs w:val="24"/>
        </w:rPr>
        <w:t xml:space="preserve"> исследовани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е</w:t>
      </w:r>
      <w:r>
        <w:rPr>
          <w:rFonts w:hint="default" w:ascii="Times New Roman Regular" w:hAnsi="Times New Roman Regular" w:eastAsia="宋体"/>
          <w:sz w:val="24"/>
          <w:szCs w:val="24"/>
        </w:rPr>
        <w:t xml:space="preserve"> анализир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уются существенность </w:t>
      </w:r>
      <w:r>
        <w:rPr>
          <w:rFonts w:hint="default" w:ascii="Times New Roman Regular" w:hAnsi="Times New Roman Regular" w:eastAsia="宋体"/>
          <w:sz w:val="24"/>
          <w:szCs w:val="24"/>
        </w:rPr>
        <w:t>создания системы углеродного налога в Китае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, путь внедрения углеродного налога</w:t>
      </w:r>
      <w:r>
        <w:rPr>
          <w:rFonts w:hint="default" w:ascii="Times New Roman Regular" w:hAnsi="Times New Roman Regular" w:eastAsia="宋体"/>
          <w:sz w:val="24"/>
          <w:szCs w:val="24"/>
        </w:rPr>
        <w:t xml:space="preserve"> и 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действия</w:t>
      </w:r>
      <w:r>
        <w:rPr>
          <w:rFonts w:hint="default" w:ascii="Times New Roman Regular" w:hAnsi="Times New Roman Regular" w:eastAsia="宋体"/>
          <w:sz w:val="24"/>
          <w:szCs w:val="24"/>
        </w:rPr>
        <w:t>, котор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ые </w:t>
      </w:r>
      <w:r>
        <w:rPr>
          <w:rFonts w:hint="default" w:ascii="Times New Roman Regular" w:hAnsi="Times New Roman Regular" w:eastAsia="宋体"/>
          <w:sz w:val="24"/>
          <w:szCs w:val="24"/>
        </w:rPr>
        <w:t>необходимо проделать д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ля</w:t>
      </w:r>
      <w:r>
        <w:rPr>
          <w:rFonts w:hint="default" w:ascii="Times New Roman Regular" w:hAnsi="Times New Roman Regular" w:eastAsia="宋体"/>
          <w:sz w:val="24"/>
          <w:szCs w:val="24"/>
        </w:rPr>
        <w:t xml:space="preserve"> введения углеродного налога.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</w:pPr>
      <w:r>
        <w:rPr>
          <w:rFonts w:hint="default" w:ascii="Times New Roman Regular" w:hAnsi="Times New Roman Regular" w:eastAsia="宋体"/>
          <w:sz w:val="24"/>
          <w:szCs w:val="24"/>
        </w:rPr>
        <w:t>В настоящее время два наиболее популярных решения, принимаемых правительствами разных стран мира для решения климатических проблем, представляют собой налоги на вы</w:t>
      </w:r>
      <w:r>
        <w:rPr>
          <w:rFonts w:hint="default" w:ascii="Times New Roman Regular" w:hAnsi="Times New Roman Regular" w:eastAsia="宋体" w:cs="Times New Roman Regular"/>
          <w:sz w:val="24"/>
          <w:szCs w:val="24"/>
        </w:rPr>
        <w:t>бросы углерода и торговлю выбросами углерода.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Единая ставка налога на выбросы углерода (и такая, которую трудно определить) с большей вероятностью приведет к социальной несправедливости, чем эффективное распределение прав на выбросы посредством рыночной торговли, но рынки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 xml:space="preserve">торговли выбросами углерода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>в развивающихся странах еще не созрели, существует возможность для коррупции в торговле углеродом и распределении первоначальных прав, углеродные рынки могут столкнуться с более высокими транзакционными издержками, а цены на углерод сильно колеблются из-за неопределенности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рыночных факторов, что затрудняет определение затрат на сокращение выбросов.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Оказывается, сто т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>рудно достичь целей углеродной нейтральности, используя только торговлю квотами на выбросы углерода или налоги на углерод. С внедрением торговли квотами на выбросы углерода в Китае необходимо ввести налог на выбросы углерода в качестве варианта политики для дальнейшего усиления регулирования сокращения выбросов углерода.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Путь внедрения углеродного налога заключается либо в установлении углеродного налога на выбросы CO</w:t>
      </w:r>
      <w:r>
        <w:rPr>
          <w:rFonts w:hint="default" w:ascii="Times New Roman Regular" w:hAnsi="Times New Roman Regular" w:eastAsia="宋体"/>
          <w:sz w:val="24"/>
          <w:szCs w:val="24"/>
          <w:vertAlign w:val="subscript"/>
          <w:lang w:val="ru-RU"/>
        </w:rPr>
        <w:t>2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, либо в адаптации углеродного налогообложения к существующим налогам, связанным с ископаемым топливом. Сравнивая эти два пути, мы пришли к выводу, что преимущество отдается последней модели. Хотя введение отдельного налога было бы полезно для того, чтобы четко сигнализировать о сокращении выбросов и непосредственно продемонстрировать намерения политики, отдельный налог на углерод может увеличить сложность налоговой структуры и усилит интуитивное восприятие налогоплательщиками более высокого налогового бремени, а также может столкнуться с большим сопротивлением общества и более длительным и сложным процессом принятия налогового законодательства [3]. По контрасту, включение углекислого газа в налог на охрану окружающей среды соответствует основным принципам налогового законодательства. Являясь парниковым газом, углерод весьма сопоставим с другими загрязнителями воздуха, которые в настоящее время облагаются налогом в соответствии с </w:t>
      </w:r>
      <w:r>
        <w:rPr>
          <w:rFonts w:hint="default" w:ascii="Times New Roman Regular" w:hAnsi="Times New Roman Regular" w:eastAsia="宋体"/>
          <w:sz w:val="24"/>
          <w:szCs w:val="24"/>
          <w:lang w:val="ru-RU" w:eastAsia="zh-CN"/>
        </w:rPr>
        <w:t>«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Законом о налоге на охрану окружающей среды</w:t>
      </w:r>
      <w:r>
        <w:rPr>
          <w:rFonts w:hint="default" w:ascii="Times New Roman Regular" w:hAnsi="Times New Roman Regular" w:eastAsia="宋体"/>
          <w:sz w:val="24"/>
          <w:szCs w:val="24"/>
          <w:lang w:val="ru-RU" w:eastAsia="zh-CN"/>
        </w:rPr>
        <w:t>»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 Китая.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 w:cs="Times New Roman Regular"/>
          <w:b w:val="0"/>
          <w:b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Times New Roman Regular" w:hAnsi="Times New Roman Regular" w:eastAsia="宋体" w:cs="Times New Roman Regular"/>
          <w:color w:val="auto"/>
          <w:sz w:val="24"/>
          <w:szCs w:val="24"/>
          <w:highlight w:val="none"/>
          <w:lang w:val="ru-RU"/>
        </w:rPr>
        <w:t>Перед введением комбинированной политики необходимо п</w:t>
      </w:r>
      <w:r>
        <w:rPr>
          <w:rFonts w:hint="default" w:ascii="Times New Roman Regular" w:hAnsi="Times New Roman Regular" w:eastAsia="宋体" w:cs="Times New Roman Regular"/>
          <w:b w:val="0"/>
          <w:bCs w:val="0"/>
          <w:color w:val="auto"/>
          <w:sz w:val="24"/>
          <w:szCs w:val="24"/>
          <w:highlight w:val="none"/>
          <w:lang w:val="ru-RU"/>
        </w:rPr>
        <w:t xml:space="preserve">ровести опрос на предмет общественного признания, проверить структуру энергетического рынка, обеспечить прозрачность и рационализацию использования налоговых поступлений и создать полный механизм координации, комбинированная политика также должна быть адаптирована к экономическим условиям Китая.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/>
          <w:sz w:val="24"/>
          <w:szCs w:val="24"/>
        </w:rPr>
      </w:pPr>
      <w:r>
        <w:rPr>
          <w:rFonts w:hint="default" w:ascii="Times New Roman Regular" w:hAnsi="Times New Roman Regular" w:eastAsia="宋体"/>
          <w:sz w:val="24"/>
          <w:szCs w:val="24"/>
        </w:rPr>
        <w:t>В итоге, необходимо внедрять углеродный налог на основе реалистичной внутренней ситуации с учетом потребностей национальных интересов на новом этапе развития в качестве основной отправной точки</w:t>
      </w:r>
      <w:r>
        <w:rPr>
          <w:rFonts w:hint="default" w:ascii="Times New Roman Regular" w:hAnsi="Times New Roman Regular" w:eastAsia="宋体"/>
          <w:sz w:val="24"/>
          <w:szCs w:val="24"/>
          <w:lang w:val="en-US"/>
        </w:rPr>
        <w:t>.</w:t>
      </w:r>
      <w:r>
        <w:rPr>
          <w:rFonts w:hint="default" w:ascii="Times New Roman Regular" w:hAnsi="Times New Roman Regular" w:eastAsia="宋体"/>
          <w:sz w:val="24"/>
          <w:szCs w:val="24"/>
        </w:rPr>
        <w:t xml:space="preserve"> С одной стороны, должны активно изучать предложения по реформе углеродного налога и своевременно продвигать реформу углеродного налога; с другой стороны, должны учитывать влияние углеродного налога на экономику и общество и разумно выбирать время проведения реформы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 xml:space="preserve">, </w:t>
      </w:r>
      <w:r>
        <w:rPr>
          <w:rFonts w:hint="default" w:ascii="Times New Roman Regular" w:hAnsi="Times New Roman Regular" w:eastAsia="宋体"/>
          <w:sz w:val="24"/>
          <w:szCs w:val="24"/>
        </w:rPr>
        <w:t>а также обеспечить координацию между углеродным налогом и торговлей выбросами углерода.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 Regular" w:hAnsi="Times New Roman Regular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</w:rPr>
        <w:t>Источники и литература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>1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/>
        </w:rPr>
        <w:t>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陈奕琼.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我国碳税开征的必要性及制度设计.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i/>
          <w:iCs/>
          <w:sz w:val="24"/>
          <w:szCs w:val="24"/>
          <w:lang w:val="ru-RU" w:eastAsia="zh-CN"/>
        </w:rPr>
        <w:t>特区经济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,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2015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(10):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104-106.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 xml:space="preserve">Chen Yijiong. The necessity and institutional design of carbon tax in China. </w:t>
      </w:r>
      <w:r>
        <w:rPr>
          <w:rFonts w:hint="default" w:ascii="Times New Roman Regular" w:hAnsi="Times New Roman Regular" w:eastAsia="宋体"/>
          <w:i/>
          <w:iCs/>
          <w:color w:val="222222"/>
          <w:spacing w:val="8"/>
          <w:kern w:val="0"/>
          <w:sz w:val="24"/>
          <w:szCs w:val="24"/>
          <w:lang w:val="ru-RU"/>
        </w:rPr>
        <w:t>The economy of the Special Administrative Region</w:t>
      </w: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>, 2015 (10): 104-106.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>2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/>
        </w:rPr>
        <w:t>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高萍.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开征碳税的必要性、路径选择与要素设计.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i/>
          <w:iCs/>
          <w:sz w:val="24"/>
          <w:szCs w:val="24"/>
          <w:lang w:val="ru-RU" w:eastAsia="zh-CN"/>
        </w:rPr>
        <w:t>税务研究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,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2011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(01):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50-54.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 xml:space="preserve">Gao Ping. The necessity, path selection and elements design of carbon tax. </w:t>
      </w:r>
      <w:r>
        <w:rPr>
          <w:rFonts w:hint="default" w:ascii="Times New Roman Regular" w:hAnsi="Times New Roman Regular" w:eastAsia="宋体"/>
          <w:i/>
          <w:iCs/>
          <w:color w:val="222222"/>
          <w:spacing w:val="8"/>
          <w:kern w:val="0"/>
          <w:sz w:val="24"/>
          <w:szCs w:val="24"/>
          <w:lang w:val="ru-RU"/>
        </w:rPr>
        <w:t>Taxation Research</w:t>
      </w: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>, 2011 (01): 50-54.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3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. 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李建军</w:t>
      </w:r>
      <w:r>
        <w:rPr>
          <w:rFonts w:hint="default" w:ascii="Times New Roman Regular" w:hAnsi="Times New Roman Regular" w:eastAsia="宋体"/>
          <w:sz w:val="24"/>
          <w:szCs w:val="24"/>
          <w:lang w:val="en-US"/>
        </w:rPr>
        <w:t xml:space="preserve">, 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刘紫桐</w:t>
      </w:r>
      <w:r>
        <w:rPr>
          <w:rFonts w:hint="default" w:ascii="Times New Roman Regular" w:hAnsi="Times New Roman Regular" w:eastAsia="宋体"/>
          <w:sz w:val="24"/>
          <w:szCs w:val="24"/>
          <w:lang w:val="en-US"/>
        </w:rPr>
        <w:t xml:space="preserve">. 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中国碳税制度设计</w:t>
      </w:r>
      <w:r>
        <w:rPr>
          <w:rFonts w:hint="default" w:ascii="Times New Roman Regular" w:hAnsi="Times New Roman Regular" w:eastAsia="宋体"/>
          <w:sz w:val="24"/>
          <w:szCs w:val="24"/>
          <w:lang w:val="en-US"/>
        </w:rPr>
        <w:t xml:space="preserve">: </w:t>
      </w:r>
      <w:r>
        <w:rPr>
          <w:rFonts w:hint="default" w:ascii="Times New Roman Regular" w:hAnsi="Times New Roman Regular" w:eastAsia="宋体"/>
          <w:sz w:val="24"/>
          <w:szCs w:val="24"/>
          <w:lang w:val="ru-RU"/>
        </w:rPr>
        <w:t>征收依据、国外借鉴与总体构想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. </w:t>
      </w:r>
      <w:r>
        <w:rPr>
          <w:rFonts w:hint="default" w:ascii="Times New Roman Regular" w:hAnsi="Times New Roman Regular" w:eastAsia="宋体"/>
          <w:i/>
          <w:iCs/>
          <w:sz w:val="24"/>
          <w:szCs w:val="24"/>
          <w:lang w:val="ru-RU"/>
        </w:rPr>
        <w:t>地方财政研究</w:t>
      </w:r>
      <w:r>
        <w:rPr>
          <w:rFonts w:hint="default" w:ascii="Times New Roman Regular" w:hAnsi="Times New Roman Regular" w:eastAsia="宋体"/>
          <w:sz w:val="24"/>
          <w:szCs w:val="24"/>
          <w:lang w:val="en-US"/>
        </w:rPr>
        <w:t>, 2021 (7): 29-34.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 w:cs="Times New Roman Regular"/>
          <w:color w:val="222222"/>
          <w:spacing w:val="8"/>
          <w:kern w:val="0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 xml:space="preserve">Li Jianjun, Liu Zitong. The design of China's carbon tax system: the basis of levy, foreign reference and general concept. </w:t>
      </w:r>
      <w:r>
        <w:rPr>
          <w:rFonts w:hint="default" w:ascii="Times New Roman Regular" w:hAnsi="Times New Roman Regular" w:eastAsia="宋体"/>
          <w:i/>
          <w:iCs/>
          <w:color w:val="222222"/>
          <w:spacing w:val="8"/>
          <w:kern w:val="0"/>
          <w:sz w:val="24"/>
          <w:szCs w:val="24"/>
          <w:lang w:val="ru-RU"/>
        </w:rPr>
        <w:t>Local Finance Research</w:t>
      </w: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>, 2021 (7): 29-34.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4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. 刘振艳, 陈思瑶. 基于绿色发展理念我国开征碳税的必要性与制度设计. </w:t>
      </w:r>
      <w:r>
        <w:rPr>
          <w:rFonts w:hint="default" w:ascii="Times New Roman Regular" w:hAnsi="Times New Roman Regular" w:eastAsia="宋体" w:cs="Times New Roman Regular"/>
          <w:i/>
          <w:iCs/>
          <w:sz w:val="24"/>
          <w:szCs w:val="24"/>
          <w:lang w:val="en-US" w:eastAsia="zh-CN"/>
        </w:rPr>
        <w:t>对外经 贸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>, 2019 (09): 152-157.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 xml:space="preserve">Liu Zhenyan, Chen Siyao. The necessity and institutional design of carbon tax in China based on the concept of green development. </w:t>
      </w:r>
      <w:r>
        <w:rPr>
          <w:rFonts w:hint="default" w:ascii="Times New Roman Regular" w:hAnsi="Times New Roman Regular" w:eastAsia="宋体"/>
          <w:i/>
          <w:iCs/>
          <w:color w:val="222222"/>
          <w:spacing w:val="8"/>
          <w:kern w:val="0"/>
          <w:sz w:val="24"/>
          <w:szCs w:val="24"/>
          <w:lang w:val="ru-RU"/>
        </w:rPr>
        <w:t>Foreign Economic and Trade</w:t>
      </w: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>, 2019 (09): 152-157.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5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>. 任超, 赖芸池. 税收显著性</w:t>
      </w:r>
      <w:bookmarkStart w:id="0" w:name="_GoBack"/>
      <w:bookmarkEnd w:id="0"/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视域下我国碳税制度构建的路径分析. </w:t>
      </w:r>
      <w:r>
        <w:rPr>
          <w:rFonts w:hint="default" w:ascii="Times New Roman Regular" w:hAnsi="Times New Roman Regular" w:eastAsia="宋体" w:cs="Times New Roman Regular"/>
          <w:i/>
          <w:iCs/>
          <w:sz w:val="24"/>
          <w:szCs w:val="24"/>
          <w:lang w:val="en-US" w:eastAsia="zh-CN"/>
        </w:rPr>
        <w:t>财会月刊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>, 2020 (11): 148-153.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 xml:space="preserve">Ren Chao, Lai Yunchi. Analysis of the path of constructing China's carbon tax system under the perspective of tax salience. </w:t>
      </w:r>
      <w:r>
        <w:rPr>
          <w:rFonts w:hint="default" w:ascii="Times New Roman Regular" w:hAnsi="Times New Roman Regular" w:eastAsia="宋体"/>
          <w:i/>
          <w:iCs/>
          <w:color w:val="222222"/>
          <w:spacing w:val="8"/>
          <w:kern w:val="0"/>
          <w:sz w:val="24"/>
          <w:szCs w:val="24"/>
          <w:lang w:val="ru-RU"/>
        </w:rPr>
        <w:t>Journal of Finance and Accounting</w:t>
      </w: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>, 2020 (11): 148-153.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>6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/>
        </w:rPr>
        <w:t>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王文军.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低碳经济发展研究.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中国人民大学出版社,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2014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.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07.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227.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textAlignment w:val="auto"/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 xml:space="preserve">Wang Wenjun. </w:t>
      </w:r>
      <w:r>
        <w:rPr>
          <w:rFonts w:hint="default" w:ascii="Times New Roman Regular" w:hAnsi="Times New Roman Regular" w:eastAsia="宋体"/>
          <w:i/>
          <w:iCs/>
          <w:color w:val="222222"/>
          <w:spacing w:val="8"/>
          <w:kern w:val="0"/>
          <w:sz w:val="24"/>
          <w:szCs w:val="24"/>
          <w:lang w:val="ru-RU"/>
        </w:rPr>
        <w:t>Research on the development of low carbon economy</w:t>
      </w: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>. People's University of China Press, 2014. 07. 227.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>7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/>
        </w:rPr>
        <w:t>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宣志欣.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碳税立法的必要性与可行性思考.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长春工业大学学报(社会科学版),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2013,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25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(03):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en-US" w:eastAsia="zh-CN"/>
        </w:rPr>
        <w:t xml:space="preserve"> </w:t>
      </w:r>
      <w:r>
        <w:rPr>
          <w:rFonts w:hint="default" w:ascii="Times New Roman Regular" w:hAnsi="Times New Roman Regular" w:eastAsia="宋体" w:cs="Times New Roman Regular"/>
          <w:sz w:val="24"/>
          <w:szCs w:val="24"/>
          <w:lang w:val="ru-RU" w:eastAsia="zh-CN"/>
        </w:rPr>
        <w:t>40-42.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397" w:firstLineChars="0"/>
        <w:jc w:val="both"/>
        <w:textAlignment w:val="auto"/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</w:pP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 xml:space="preserve">Xuan Zhixin. The necessity and feasibility of carbon tax legislation. </w:t>
      </w:r>
      <w:r>
        <w:rPr>
          <w:rFonts w:hint="default" w:ascii="Times New Roman Regular" w:hAnsi="Times New Roman Regular" w:eastAsia="宋体"/>
          <w:i/>
          <w:iCs/>
          <w:color w:val="222222"/>
          <w:spacing w:val="8"/>
          <w:kern w:val="0"/>
          <w:sz w:val="24"/>
          <w:szCs w:val="24"/>
          <w:lang w:val="ru-RU"/>
        </w:rPr>
        <w:t>Journal of Changchun University of Technology (Social Science Edition)</w:t>
      </w:r>
      <w:r>
        <w:rPr>
          <w:rFonts w:hint="default" w:ascii="Times New Roman Regular" w:hAnsi="Times New Roman Regular" w:eastAsia="宋体"/>
          <w:color w:val="222222"/>
          <w:spacing w:val="8"/>
          <w:kern w:val="0"/>
          <w:sz w:val="24"/>
          <w:szCs w:val="24"/>
          <w:lang w:val="ru-RU"/>
        </w:rPr>
        <w:t>, 2013, 25 (03): 40-42.</w:t>
      </w:r>
    </w:p>
    <w:sectPr>
      <w:pgSz w:w="11906" w:h="16838"/>
      <w:pgMar w:top="1134" w:right="1361" w:bottom="1134" w:left="136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D4BA"/>
    <w:rsid w:val="1EFED4BA"/>
    <w:rsid w:val="286D5E97"/>
    <w:rsid w:val="31FB71F3"/>
    <w:rsid w:val="4FD5B311"/>
    <w:rsid w:val="565F2FC8"/>
    <w:rsid w:val="57D334D8"/>
    <w:rsid w:val="5FAFB895"/>
    <w:rsid w:val="677E8651"/>
    <w:rsid w:val="6F3F6B73"/>
    <w:rsid w:val="76CF719D"/>
    <w:rsid w:val="77FBC9DD"/>
    <w:rsid w:val="7E9F419C"/>
    <w:rsid w:val="7F6BACAB"/>
    <w:rsid w:val="7F6F52BD"/>
    <w:rsid w:val="7F75AFE6"/>
    <w:rsid w:val="BB7259C9"/>
    <w:rsid w:val="C7DEC0C5"/>
    <w:rsid w:val="DEC761B8"/>
    <w:rsid w:val="E998A8D7"/>
    <w:rsid w:val="ED7E522F"/>
    <w:rsid w:val="F3FD6FAC"/>
    <w:rsid w:val="F7B3A358"/>
    <w:rsid w:val="F7FD67CD"/>
    <w:rsid w:val="FE4F87B3"/>
    <w:rsid w:val="FEDF68EC"/>
    <w:rsid w:val="FEFF3DB8"/>
    <w:rsid w:val="FF3B3F13"/>
    <w:rsid w:val="FFC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2023-02-27T17:50:00Z</dcterms:created>
  <dc:creator>Сюецин Чэнь</dc:creator>
  <cp:lastModifiedBy>Сюецин Чэнь</cp:lastModifiedBy>
  <dcterms:modified xsi:type="dcterms:W3CDTF">2023-03-09T00:46:09Z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2052-4.9.0.7859</vt:lpwstr>
  </property>
</Properties>
</file>