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C9D52CF" w:rsidR="002A666A" w:rsidRPr="00062D8D" w:rsidRDefault="005A2105">
      <w:pPr>
        <w:jc w:val="center"/>
        <w:rPr>
          <w:rFonts w:ascii="Times New Roman" w:eastAsia="Times New Roman" w:hAnsi="Times New Roman" w:cs="Times New Roman"/>
          <w:b/>
          <w:sz w:val="24"/>
          <w:szCs w:val="24"/>
          <w:lang w:val="en-US"/>
        </w:rPr>
      </w:pPr>
      <w:r w:rsidRPr="00062D8D">
        <w:rPr>
          <w:rFonts w:ascii="Times New Roman" w:eastAsia="Times New Roman" w:hAnsi="Times New Roman" w:cs="Times New Roman"/>
          <w:b/>
          <w:sz w:val="24"/>
          <w:szCs w:val="24"/>
          <w:lang w:val="en-US"/>
        </w:rPr>
        <w:t>Prediction of skin permeability coefficient by means of coarse grained molecular dynamics simulations</w:t>
      </w:r>
    </w:p>
    <w:p w14:paraId="00000003" w14:textId="2985E2ED" w:rsidR="002A666A" w:rsidRPr="00062D8D" w:rsidRDefault="00F64665">
      <w:pPr>
        <w:jc w:val="center"/>
        <w:rPr>
          <w:rFonts w:ascii="Times New Roman" w:eastAsia="Times New Roman" w:hAnsi="Times New Roman" w:cs="Times New Roman"/>
          <w:b/>
          <w:i/>
          <w:iCs/>
          <w:sz w:val="24"/>
          <w:szCs w:val="24"/>
          <w:vertAlign w:val="superscript"/>
          <w:lang w:val="en-US"/>
        </w:rPr>
      </w:pPr>
      <w:r w:rsidRPr="00062D8D">
        <w:rPr>
          <w:rFonts w:ascii="Times New Roman" w:eastAsia="Times New Roman" w:hAnsi="Times New Roman" w:cs="Times New Roman"/>
          <w:b/>
          <w:i/>
          <w:iCs/>
          <w:sz w:val="24"/>
          <w:szCs w:val="24"/>
          <w:lang w:val="en-US"/>
        </w:rPr>
        <w:t>Yang A., Bozdaganyan M.</w:t>
      </w:r>
    </w:p>
    <w:p w14:paraId="00000004" w14:textId="105F55EC" w:rsidR="002A666A" w:rsidRPr="00062D8D" w:rsidRDefault="005A2105">
      <w:pPr>
        <w:jc w:val="center"/>
        <w:rPr>
          <w:rFonts w:ascii="Times New Roman" w:eastAsia="Times New Roman" w:hAnsi="Times New Roman" w:cs="Times New Roman"/>
          <w:i/>
          <w:iCs/>
          <w:sz w:val="24"/>
          <w:szCs w:val="24"/>
          <w:lang w:val="en-US"/>
        </w:rPr>
      </w:pPr>
      <w:r w:rsidRPr="00062D8D">
        <w:rPr>
          <w:rFonts w:ascii="Times New Roman" w:eastAsia="Times New Roman" w:hAnsi="Times New Roman" w:cs="Times New Roman"/>
          <w:i/>
          <w:iCs/>
          <w:sz w:val="24"/>
          <w:szCs w:val="24"/>
          <w:lang w:val="en-US"/>
        </w:rPr>
        <w:t xml:space="preserve">Student, </w:t>
      </w:r>
      <w:r w:rsidRPr="00062D8D">
        <w:rPr>
          <w:rFonts w:ascii="Times New Roman" w:eastAsia="Times New Roman" w:hAnsi="Times New Roman" w:cs="Times New Roman"/>
          <w:i/>
          <w:iCs/>
          <w:sz w:val="24"/>
          <w:szCs w:val="24"/>
          <w:lang w:val="en-US"/>
        </w:rPr>
        <w:t>2nd</w:t>
      </w:r>
      <w:r w:rsidRPr="00062D8D">
        <w:rPr>
          <w:rFonts w:ascii="Times New Roman" w:eastAsia="Times New Roman" w:hAnsi="Times New Roman" w:cs="Times New Roman"/>
          <w:i/>
          <w:iCs/>
          <w:sz w:val="24"/>
          <w:szCs w:val="24"/>
          <w:lang w:val="en-US"/>
        </w:rPr>
        <w:t xml:space="preserve"> year of the</w:t>
      </w:r>
      <w:r w:rsidRPr="00062D8D">
        <w:rPr>
          <w:rFonts w:ascii="Times New Roman" w:eastAsia="Times New Roman" w:hAnsi="Times New Roman" w:cs="Times New Roman"/>
          <w:i/>
          <w:iCs/>
          <w:sz w:val="24"/>
          <w:szCs w:val="24"/>
          <w:lang w:val="en-US"/>
        </w:rPr>
        <w:t xml:space="preserve"> nanobiotechnology</w:t>
      </w:r>
    </w:p>
    <w:p w14:paraId="66316F0C" w14:textId="77777777" w:rsidR="006B1998" w:rsidRPr="00062D8D" w:rsidRDefault="00F64665">
      <w:pPr>
        <w:jc w:val="center"/>
        <w:rPr>
          <w:rFonts w:ascii="Times New Roman" w:eastAsia="Times New Roman" w:hAnsi="Times New Roman" w:cs="Times New Roman"/>
          <w:i/>
          <w:iCs/>
          <w:sz w:val="24"/>
          <w:szCs w:val="24"/>
          <w:lang w:val="en-US"/>
        </w:rPr>
      </w:pPr>
      <w:r w:rsidRPr="00062D8D">
        <w:rPr>
          <w:rFonts w:ascii="Times New Roman" w:eastAsia="Times New Roman" w:hAnsi="Times New Roman" w:cs="Times New Roman"/>
          <w:i/>
          <w:iCs/>
          <w:sz w:val="24"/>
          <w:szCs w:val="24"/>
          <w:lang w:val="en-US"/>
        </w:rPr>
        <w:t>Shenzhen MSU-BIT University, 1 International University Garden Road, Dayun New City, Longgang District, Shenzhen City, Guangdong Province, 518172, China</w:t>
      </w:r>
    </w:p>
    <w:p w14:paraId="00000005" w14:textId="117DFDFF" w:rsidR="002A666A" w:rsidRPr="00062D8D" w:rsidRDefault="005A2105">
      <w:pPr>
        <w:jc w:val="center"/>
        <w:rPr>
          <w:rFonts w:ascii="Times New Roman" w:eastAsia="Times New Roman" w:hAnsi="Times New Roman" w:cs="Times New Roman"/>
          <w:i/>
          <w:iCs/>
          <w:sz w:val="24"/>
          <w:szCs w:val="24"/>
          <w:lang w:val="en-US"/>
        </w:rPr>
      </w:pPr>
      <w:r w:rsidRPr="00062D8D">
        <w:rPr>
          <w:rFonts w:ascii="Times New Roman" w:eastAsia="Times New Roman" w:hAnsi="Times New Roman" w:cs="Times New Roman"/>
          <w:i/>
          <w:iCs/>
          <w:sz w:val="24"/>
          <w:szCs w:val="24"/>
          <w:lang w:val="en-US"/>
        </w:rPr>
        <w:t>E-</w:t>
      </w:r>
      <w:r w:rsidRPr="00062D8D">
        <w:rPr>
          <w:rFonts w:ascii="Times New Roman" w:hAnsi="Times New Roman" w:cs="Times New Roman"/>
          <w:i/>
          <w:iCs/>
          <w:sz w:val="24"/>
          <w:szCs w:val="24"/>
          <w:lang w:val="en-US"/>
        </w:rPr>
        <w:t>mail</w:t>
      </w:r>
      <w:r w:rsidRPr="00062D8D">
        <w:rPr>
          <w:rFonts w:ascii="Times New Roman" w:eastAsia="Times New Roman" w:hAnsi="Times New Roman" w:cs="Times New Roman"/>
          <w:i/>
          <w:iCs/>
          <w:sz w:val="24"/>
          <w:szCs w:val="24"/>
          <w:lang w:val="en-US"/>
        </w:rPr>
        <w:t>:</w:t>
      </w:r>
      <w:r w:rsidR="00F64665" w:rsidRPr="00062D8D">
        <w:rPr>
          <w:rFonts w:ascii="Times New Roman" w:eastAsia="Times New Roman" w:hAnsi="Times New Roman" w:cs="Times New Roman"/>
          <w:i/>
          <w:iCs/>
          <w:sz w:val="24"/>
          <w:szCs w:val="24"/>
          <w:u w:val="single"/>
          <w:lang w:val="en-US"/>
        </w:rPr>
        <w:t>smbuamy@gmail.com</w:t>
      </w:r>
    </w:p>
    <w:p w14:paraId="00000008" w14:textId="0E9E0B3A" w:rsidR="002A666A" w:rsidRPr="00062D8D" w:rsidRDefault="00F64665" w:rsidP="005A2105">
      <w:pPr>
        <w:ind w:firstLine="397"/>
        <w:jc w:val="both"/>
        <w:rPr>
          <w:rFonts w:ascii="Times New Roman" w:eastAsia="Times New Roman" w:hAnsi="Times New Roman" w:cs="Times New Roman"/>
          <w:sz w:val="24"/>
          <w:szCs w:val="24"/>
          <w:lang w:val="en-US"/>
        </w:rPr>
      </w:pPr>
      <w:r w:rsidRPr="00062D8D">
        <w:rPr>
          <w:rFonts w:ascii="Times New Roman" w:eastAsia="Times New Roman" w:hAnsi="Times New Roman" w:cs="Times New Roman"/>
          <w:sz w:val="24"/>
          <w:szCs w:val="24"/>
          <w:lang w:val="en-US"/>
        </w:rPr>
        <w:t>Transdermal drugs and cosmetics are of great significance in the medical and cosmetic industries. The cost of experiments on human skin is relatively high, and the physiological gap between human skin and the substitutes such as pig skin, monolayer cells or chemical biofilms is too large. Using molecular simulation to study model skin cell membranes can provide predictions of experimental parameters such as permeability coefficients. Different concentrations of active ingredients and compound combinations can bring different penetration effects through the skin. This research mainly focuses on simulations of interactions of different chemical compounds with model skin bilayer. MARTINI force field and the Gromacs software is used in the study. The ratio of ceramide, cholesterol and free fatty acid of the skin cell membrane is 1:1:1. The membrane is equilibrated at 31</w:t>
      </w:r>
      <w:r w:rsidR="00810EEB" w:rsidRPr="00062D8D">
        <w:rPr>
          <w:rFonts w:ascii="Times New Roman" w:eastAsia="Times New Roman" w:hAnsi="Times New Roman" w:cs="Times New Roman"/>
          <w:sz w:val="24"/>
          <w:szCs w:val="24"/>
          <w:lang w:val="en-US"/>
        </w:rPr>
        <w:t>0</w:t>
      </w:r>
      <w:r w:rsidRPr="00062D8D">
        <w:rPr>
          <w:rFonts w:ascii="Times New Roman" w:eastAsia="Times New Roman" w:hAnsi="Times New Roman" w:cs="Times New Roman"/>
          <w:sz w:val="24"/>
          <w:szCs w:val="24"/>
          <w:lang w:val="en-US"/>
        </w:rPr>
        <w:t xml:space="preserve"> K during 0.5 microsecond. Firstly, we calculate the potential of mean force (PMF) between the membrane and </w:t>
      </w:r>
      <w:r w:rsidR="00544D8E" w:rsidRPr="00062D8D">
        <w:rPr>
          <w:rFonts w:ascii="Times New Roman" w:eastAsia="Times New Roman" w:hAnsi="Times New Roman" w:cs="Times New Roman"/>
          <w:sz w:val="24"/>
          <w:szCs w:val="24"/>
          <w:lang w:val="en-US"/>
        </w:rPr>
        <w:t xml:space="preserve">14 non-charged </w:t>
      </w:r>
      <w:r w:rsidR="00056A0D" w:rsidRPr="00062D8D">
        <w:rPr>
          <w:rFonts w:ascii="Times New Roman" w:eastAsia="Times New Roman" w:hAnsi="Times New Roman" w:cs="Times New Roman"/>
          <w:sz w:val="24"/>
          <w:szCs w:val="24"/>
          <w:lang w:val="en-US"/>
        </w:rPr>
        <w:t>hydrophilic, hydrophobic and neutral beads</w:t>
      </w:r>
      <w:r w:rsidR="004F2192" w:rsidRPr="00062D8D">
        <w:rPr>
          <w:rFonts w:ascii="Times New Roman" w:eastAsia="Times New Roman" w:hAnsi="Times New Roman" w:cs="Times New Roman"/>
          <w:sz w:val="24"/>
          <w:szCs w:val="24"/>
          <w:lang w:val="en-US"/>
        </w:rPr>
        <w:t xml:space="preserve"> </w:t>
      </w:r>
      <w:r w:rsidR="00043365" w:rsidRPr="00062D8D">
        <w:rPr>
          <w:rFonts w:ascii="Times New Roman" w:eastAsia="Times New Roman" w:hAnsi="Times New Roman" w:cs="Times New Roman"/>
          <w:sz w:val="24"/>
          <w:szCs w:val="24"/>
          <w:lang w:val="en-US"/>
        </w:rPr>
        <w:fldChar w:fldCharType="begin"/>
      </w:r>
      <w:r w:rsidR="00043365" w:rsidRPr="00062D8D">
        <w:rPr>
          <w:rFonts w:ascii="Times New Roman" w:eastAsia="Times New Roman" w:hAnsi="Times New Roman" w:cs="Times New Roman"/>
          <w:sz w:val="24"/>
          <w:szCs w:val="24"/>
          <w:lang w:val="en-US"/>
        </w:rPr>
        <w:instrText xml:space="preserve"> ADDIN ZOTERO_ITEM CSL_CITATION {"citationID":"I8kXjtYz","properties":{"formattedCitation":"[1]","plainCitation":"[1]","noteIndex":0},"citationItems":[{"id":919,"uris":["http://zotero.org/users/10215336/items/45EVD2VT"],"itemData":{"id":919,"type":"article-journal","abstract":"Measurement(s) molecular dynamics trajectories Technology Type(s) computational modeling technique • molecular dynamics simulation Factor Type(s) Small organic molecules • phospholipid Machine-accessible metadata file describing the reported data:  https://doi.org/10.6084/m9.figshare.11733504","container-title":"Scientific Data","DOI":"10.1038/s41597-020-0391-0","ISSN":"2052-4463","issue":"1","journalAbbreviation":"Sci Data","language":"en","license":"2020 The Author(s)","note":"number: 1\npublisher: Nature Publishing Group\nsciif: 8.50\nsci: Q1","page":"1-7","source":"www.nature.com","title":"Molecular dynamics trajectories for 630 coarse-grained drug-membrane permeations","volume":"7","author":[{"family":"Hoffmann","given":"Christian"},{"family":"Centi","given":"Alessia"},{"family":"Menichetti","given":"Roberto"},{"family":"Bereau","given":"Tristan"}],"issued":{"date-parts":[["2020",2,13]]},"citation-key":"hoffmannMolecularDynamicsTrajectories2020"}}],"schema":"https://github.com/citation-style-language/schema/raw/master/csl-citation.json"} </w:instrText>
      </w:r>
      <w:r w:rsidR="00043365" w:rsidRPr="00062D8D">
        <w:rPr>
          <w:rFonts w:ascii="Times New Roman" w:eastAsia="Times New Roman" w:hAnsi="Times New Roman" w:cs="Times New Roman"/>
          <w:sz w:val="24"/>
          <w:szCs w:val="24"/>
          <w:lang w:val="en-US"/>
        </w:rPr>
        <w:fldChar w:fldCharType="separate"/>
      </w:r>
      <w:r w:rsidR="00043365" w:rsidRPr="00062D8D">
        <w:rPr>
          <w:rFonts w:ascii="Times New Roman" w:hAnsi="Times New Roman" w:cs="Times New Roman"/>
          <w:sz w:val="24"/>
          <w:szCs w:val="24"/>
          <w:lang w:val="en-US"/>
        </w:rPr>
        <w:t>[1]</w:t>
      </w:r>
      <w:r w:rsidR="00043365" w:rsidRPr="00062D8D">
        <w:rPr>
          <w:rFonts w:ascii="Times New Roman" w:eastAsia="Times New Roman" w:hAnsi="Times New Roman" w:cs="Times New Roman"/>
          <w:sz w:val="24"/>
          <w:szCs w:val="24"/>
          <w:lang w:val="en-US"/>
        </w:rPr>
        <w:fldChar w:fldCharType="end"/>
      </w:r>
      <w:r w:rsidR="004F2192" w:rsidRPr="00062D8D">
        <w:rPr>
          <w:rFonts w:ascii="Times New Roman" w:eastAsia="Times New Roman" w:hAnsi="Times New Roman" w:cs="Times New Roman"/>
          <w:sz w:val="24"/>
          <w:szCs w:val="24"/>
          <w:lang w:val="en-US"/>
        </w:rPr>
        <w:t xml:space="preserve"> </w:t>
      </w:r>
      <w:r w:rsidR="00056A0D" w:rsidRPr="00062D8D">
        <w:rPr>
          <w:rFonts w:ascii="Times New Roman" w:eastAsia="Times New Roman" w:hAnsi="Times New Roman" w:cs="Times New Roman"/>
          <w:sz w:val="24"/>
          <w:szCs w:val="24"/>
          <w:lang w:val="en-US"/>
        </w:rPr>
        <w:t>which are following the standard MARTINI notation</w:t>
      </w:r>
      <w:r w:rsidRPr="00062D8D">
        <w:rPr>
          <w:rFonts w:ascii="Times New Roman" w:eastAsia="Times New Roman" w:hAnsi="Times New Roman" w:cs="Times New Roman"/>
          <w:sz w:val="24"/>
          <w:szCs w:val="24"/>
          <w:lang w:val="en-US"/>
        </w:rPr>
        <w:t xml:space="preserve">, after that we make estimations of logKp like in </w:t>
      </w:r>
      <w:r w:rsidR="004F2192" w:rsidRPr="00062D8D">
        <w:rPr>
          <w:rFonts w:ascii="Times New Roman" w:eastAsia="Times New Roman" w:hAnsi="Times New Roman" w:cs="Times New Roman"/>
          <w:sz w:val="24"/>
          <w:szCs w:val="24"/>
          <w:lang w:val="en-US"/>
        </w:rPr>
        <w:fldChar w:fldCharType="begin"/>
      </w:r>
      <w:r w:rsidR="004F2192" w:rsidRPr="00062D8D">
        <w:rPr>
          <w:rFonts w:ascii="Times New Roman" w:eastAsia="Times New Roman" w:hAnsi="Times New Roman" w:cs="Times New Roman"/>
          <w:sz w:val="24"/>
          <w:szCs w:val="24"/>
          <w:lang w:val="en-US"/>
        </w:rPr>
        <w:instrText xml:space="preserve"> ADDIN ZOTERO_ITEM CSL_CITATION {"citationID":"fozTjDm0","properties":{"formattedCitation":"[1]","plainCitation":"[1]","noteIndex":0},"citationItems":[{"id":919,"uris":["http://zotero.org/users/10215336/items/45EVD2VT"],"itemData":{"id":919,"type":"article-journal","abstract":"Measurement(s) molecular dynamics trajectories Technology Type(s) computational modeling technique • molecular dynamics simulation Factor Type(s) Small organic molecules • phospholipid Machine-accessible metadata file describing the reported data:  https://doi.org/10.6084/m9.figshare.11733504","container-title":"Scientific Data","DOI":"10.1038/s41597-020-0391-0","ISSN":"2052-4463","issue":"1","journalAbbreviation":"Sci Data","language":"en","license":"2020 The Author(s)","note":"number: 1\npublisher: Nature Publishing Group\nsciif: 8.50\nsci: Q1","page":"1-7","source":"www.nature.com","title":"Molecular dynamics trajectories for 630 coarse-grained drug-membrane permeations","volume":"7","author":[{"family":"Hoffmann","given":"Christian"},{"family":"Centi","given":"Alessia"},{"family":"Menichetti","given":"Roberto"},{"family":"Bereau","given":"Tristan"}],"issued":{"date-parts":[["2020",2,13]]},"citation-key":"hoffmannMolecularDynamicsTrajectories2020"}}],"schema":"https://github.com/citation-style-language/schema/raw/master/csl-citation.json"} </w:instrText>
      </w:r>
      <w:r w:rsidR="004F2192" w:rsidRPr="00062D8D">
        <w:rPr>
          <w:rFonts w:ascii="Times New Roman" w:eastAsia="Times New Roman" w:hAnsi="Times New Roman" w:cs="Times New Roman"/>
          <w:sz w:val="24"/>
          <w:szCs w:val="24"/>
          <w:lang w:val="en-US"/>
        </w:rPr>
        <w:fldChar w:fldCharType="separate"/>
      </w:r>
      <w:r w:rsidR="004F2192" w:rsidRPr="00062D8D">
        <w:rPr>
          <w:rFonts w:ascii="Times New Roman" w:hAnsi="Times New Roman" w:cs="Times New Roman"/>
          <w:sz w:val="24"/>
          <w:szCs w:val="24"/>
          <w:lang w:val="en-US"/>
        </w:rPr>
        <w:t>[1]</w:t>
      </w:r>
      <w:r w:rsidR="004F2192" w:rsidRPr="00062D8D">
        <w:rPr>
          <w:rFonts w:ascii="Times New Roman" w:eastAsia="Times New Roman" w:hAnsi="Times New Roman" w:cs="Times New Roman"/>
          <w:sz w:val="24"/>
          <w:szCs w:val="24"/>
          <w:lang w:val="en-US"/>
        </w:rPr>
        <w:fldChar w:fldCharType="end"/>
      </w:r>
      <w:r w:rsidRPr="00062D8D">
        <w:rPr>
          <w:rFonts w:ascii="Times New Roman" w:eastAsia="Times New Roman" w:hAnsi="Times New Roman" w:cs="Times New Roman"/>
          <w:sz w:val="24"/>
          <w:szCs w:val="24"/>
          <w:lang w:val="en-US"/>
        </w:rPr>
        <w:t xml:space="preserve">. Secondly, we calculate PMFs and logKp for the </w:t>
      </w:r>
      <w:r w:rsidR="00544D8E" w:rsidRPr="00062D8D">
        <w:rPr>
          <w:rFonts w:ascii="Times New Roman" w:eastAsia="Times New Roman" w:hAnsi="Times New Roman" w:cs="Times New Roman"/>
          <w:sz w:val="24"/>
          <w:szCs w:val="24"/>
          <w:lang w:val="en-US"/>
        </w:rPr>
        <w:t xml:space="preserve">selected </w:t>
      </w:r>
      <w:r w:rsidRPr="00062D8D">
        <w:rPr>
          <w:rFonts w:ascii="Times New Roman" w:eastAsia="Times New Roman" w:hAnsi="Times New Roman" w:cs="Times New Roman"/>
          <w:sz w:val="24"/>
          <w:szCs w:val="24"/>
          <w:lang w:val="en-US"/>
        </w:rPr>
        <w:t xml:space="preserve">compounds from </w:t>
      </w:r>
      <w:r w:rsidR="00225A3B" w:rsidRPr="00062D8D">
        <w:rPr>
          <w:rFonts w:ascii="Times New Roman" w:eastAsia="Times New Roman" w:hAnsi="Times New Roman" w:cs="Times New Roman"/>
          <w:sz w:val="24"/>
          <w:szCs w:val="24"/>
          <w:lang w:val="en-US"/>
        </w:rPr>
        <w:t>CPE DB</w:t>
      </w:r>
      <w:r w:rsidR="004F2192" w:rsidRPr="00062D8D">
        <w:rPr>
          <w:rFonts w:ascii="Times New Roman" w:eastAsia="Times New Roman" w:hAnsi="Times New Roman" w:cs="Times New Roman"/>
          <w:sz w:val="24"/>
          <w:szCs w:val="24"/>
          <w:lang w:val="en-US"/>
        </w:rPr>
        <w:t xml:space="preserve"> </w:t>
      </w:r>
      <w:r w:rsidR="00043365" w:rsidRPr="00062D8D">
        <w:rPr>
          <w:rFonts w:ascii="Times New Roman" w:eastAsia="Times New Roman" w:hAnsi="Times New Roman" w:cs="Times New Roman"/>
          <w:sz w:val="24"/>
          <w:szCs w:val="24"/>
          <w:lang w:val="en-US"/>
        </w:rPr>
        <w:fldChar w:fldCharType="begin"/>
      </w:r>
      <w:r w:rsidR="00043365" w:rsidRPr="00062D8D">
        <w:rPr>
          <w:rFonts w:ascii="Times New Roman" w:eastAsia="Times New Roman" w:hAnsi="Times New Roman" w:cs="Times New Roman"/>
          <w:sz w:val="24"/>
          <w:szCs w:val="24"/>
          <w:lang w:val="en-US"/>
        </w:rPr>
        <w:instrText xml:space="preserve"> ADDIN ZOTERO_ITEM CSL_CITATION {"citationID":"PAR4QuKC","properties":{"formattedCitation":"[2]","plainCitation":"[2]","noteIndex":0},"citationItems":[{"id":1579,"uris":["http://zotero.org/users/10215336/items/3U73W64D"],"itemData":{"id":1579,"type":"article-journal","abstract":"The cutaneous delivery route currently accounts for almost 10% of all administered drugs and it is becoming more common. Chemical penetration enhancers (CPEs) increase the transport of drugs across skin layers by different mechanisms that depend on the chemical nature of the penetration enhancers. In our work, we created a chemical penetration enhancer database (CPE-DB) that is, to the best of our knowledge, the first CPE database. We collected information about known enhancers and their derivatives in a single database, and classified and characterized their molecular diversity in terms of scaffold content, key chemical moieties, molecular descriptors, etc. CPE-DB can be used for virtual screening and similarity search to identify new potent and safe enhancers, building quantitative structure–activity relationship (QSAR) and quantitative structure–property relationship (QSPR) models, and other machine-learning (ML) applications for the prediction of biological activity.","container-title":"Pharmaceutics","DOI":"10.3390/pharmaceutics13010066","ISSN":"1999-4923","issue":"1","language":"en","license":"http://creativecommons.org/licenses/by/3.0/","note":"number: 1\npublisher: Multidisciplinary Digital Publishing Institute","page":"66","source":"www.mdpi.com","title":"CPE-DB: An Open Database of Chemical Penetration Enhancers","title-short":"CPE-DB","volume":"13","author":[{"family":"Vasyuchenko","given":"Ekaterina P."},{"family":"Orekhov","given":"Philipp S."},{"family":"Armeev","given":"Grigoriy A."},{"family":"Bozdaganyan","given":"Marine E."}],"issued":{"date-parts":[["2021",1]]},"citation-key":"vasyuchenkoCPEDBOpenDatabase2021"}}],"schema":"https://github.com/citation-style-language/schema/raw/master/csl-citation.json"} </w:instrText>
      </w:r>
      <w:r w:rsidR="00043365" w:rsidRPr="00062D8D">
        <w:rPr>
          <w:rFonts w:ascii="Times New Roman" w:eastAsia="Times New Roman" w:hAnsi="Times New Roman" w:cs="Times New Roman"/>
          <w:sz w:val="24"/>
          <w:szCs w:val="24"/>
          <w:lang w:val="en-US"/>
        </w:rPr>
        <w:fldChar w:fldCharType="separate"/>
      </w:r>
      <w:r w:rsidR="00043365" w:rsidRPr="00062D8D">
        <w:rPr>
          <w:rFonts w:ascii="Times New Roman" w:hAnsi="Times New Roman" w:cs="Times New Roman"/>
          <w:sz w:val="24"/>
          <w:szCs w:val="24"/>
          <w:lang w:val="en-US"/>
        </w:rPr>
        <w:t>[2]</w:t>
      </w:r>
      <w:r w:rsidR="00043365" w:rsidRPr="00062D8D">
        <w:rPr>
          <w:rFonts w:ascii="Times New Roman" w:eastAsia="Times New Roman" w:hAnsi="Times New Roman" w:cs="Times New Roman"/>
          <w:sz w:val="24"/>
          <w:szCs w:val="24"/>
          <w:lang w:val="en-US"/>
        </w:rPr>
        <w:fldChar w:fldCharType="end"/>
      </w:r>
      <w:r w:rsidRPr="00062D8D">
        <w:rPr>
          <w:rFonts w:ascii="Times New Roman" w:eastAsia="Times New Roman" w:hAnsi="Times New Roman" w:cs="Times New Roman"/>
          <w:sz w:val="24"/>
          <w:szCs w:val="24"/>
          <w:lang w:val="en-US"/>
        </w:rPr>
        <w:t xml:space="preserve"> and analyze the correlation between predicted logKp and experimental one. This research provides a reference for the development and screening of new chemicals for transdermal drug delivery</w:t>
      </w:r>
      <w:r w:rsidR="00544D8E" w:rsidRPr="00062D8D">
        <w:rPr>
          <w:rFonts w:ascii="Times New Roman" w:eastAsia="Times New Roman" w:hAnsi="Times New Roman" w:cs="Times New Roman"/>
          <w:sz w:val="24"/>
          <w:szCs w:val="24"/>
          <w:lang w:val="en-US"/>
        </w:rPr>
        <w:t>.</w:t>
      </w:r>
      <w:r w:rsidR="004F2192" w:rsidRPr="00062D8D">
        <w:rPr>
          <w:rFonts w:ascii="Times New Roman" w:eastAsia="Times New Roman" w:hAnsi="Times New Roman" w:cs="Times New Roman"/>
          <w:sz w:val="24"/>
          <w:szCs w:val="24"/>
          <w:lang w:val="en-US"/>
        </w:rPr>
        <w:t xml:space="preserve"> </w:t>
      </w:r>
    </w:p>
    <w:p w14:paraId="60216A83" w14:textId="77777777" w:rsidR="00DC1CAC" w:rsidRPr="00062D8D" w:rsidRDefault="00DC1CAC" w:rsidP="005A2105">
      <w:pPr>
        <w:ind w:firstLine="397"/>
        <w:jc w:val="both"/>
        <w:rPr>
          <w:rFonts w:ascii="Times New Roman" w:eastAsia="Times New Roman" w:hAnsi="Times New Roman" w:cs="Times New Roman"/>
          <w:sz w:val="24"/>
          <w:szCs w:val="24"/>
          <w:lang w:val="en-US"/>
        </w:rPr>
      </w:pPr>
    </w:p>
    <w:p w14:paraId="1ED208A1" w14:textId="4F4FE861" w:rsidR="004F2192" w:rsidRPr="00062D8D" w:rsidRDefault="00A37EFD" w:rsidP="00DC1CAC">
      <w:pPr>
        <w:ind w:firstLine="397"/>
        <w:jc w:val="center"/>
        <w:rPr>
          <w:rFonts w:ascii="Times New Roman" w:hAnsi="Times New Roman" w:cs="Times New Roman"/>
          <w:sz w:val="24"/>
          <w:szCs w:val="24"/>
          <w:lang w:val="en-US"/>
        </w:rPr>
      </w:pPr>
      <w:r>
        <w:rPr>
          <w:noProof/>
        </w:rPr>
        <w:drawing>
          <wp:inline distT="0" distB="0" distL="0" distR="0" wp14:anchorId="0867027E" wp14:editId="7364F5B5">
            <wp:extent cx="2700000" cy="1800000"/>
            <wp:effectExtent l="0" t="0" r="5715"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00000" cy="1800000"/>
                    </a:xfrm>
                    <a:prstGeom prst="rect">
                      <a:avLst/>
                    </a:prstGeom>
                    <a:noFill/>
                    <a:ln>
                      <a:noFill/>
                    </a:ln>
                  </pic:spPr>
                </pic:pic>
              </a:graphicData>
            </a:graphic>
          </wp:inline>
        </w:drawing>
      </w:r>
      <w:r>
        <w:rPr>
          <w:noProof/>
        </w:rPr>
        <w:drawing>
          <wp:inline distT="0" distB="0" distL="0" distR="0" wp14:anchorId="72D73E63" wp14:editId="72E137A0">
            <wp:extent cx="2700000" cy="1800000"/>
            <wp:effectExtent l="0" t="0" r="5715"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00000" cy="1800000"/>
                    </a:xfrm>
                    <a:prstGeom prst="rect">
                      <a:avLst/>
                    </a:prstGeom>
                    <a:noFill/>
                    <a:ln>
                      <a:noFill/>
                    </a:ln>
                  </pic:spPr>
                </pic:pic>
              </a:graphicData>
            </a:graphic>
          </wp:inline>
        </w:drawing>
      </w:r>
    </w:p>
    <w:p w14:paraId="2BBA2D20" w14:textId="01D2DF54" w:rsidR="004F2192" w:rsidRPr="00062D8D" w:rsidRDefault="004F2192" w:rsidP="005A2105">
      <w:pPr>
        <w:ind w:firstLine="397"/>
        <w:jc w:val="both"/>
        <w:rPr>
          <w:rFonts w:ascii="Times New Roman" w:hAnsi="Times New Roman" w:cs="Times New Roman"/>
          <w:sz w:val="24"/>
          <w:szCs w:val="24"/>
          <w:lang w:val="en-US"/>
        </w:rPr>
      </w:pPr>
      <w:r w:rsidRPr="00062D8D">
        <w:rPr>
          <w:rFonts w:ascii="Times New Roman" w:hAnsi="Times New Roman" w:cs="Times New Roman"/>
          <w:sz w:val="24"/>
          <w:szCs w:val="24"/>
          <w:lang w:val="en-US"/>
        </w:rPr>
        <w:t xml:space="preserve">Fig. 1. </w:t>
      </w:r>
      <w:r w:rsidR="00062D8D" w:rsidRPr="00062D8D">
        <w:rPr>
          <w:rFonts w:ascii="Times New Roman" w:hAnsi="Times New Roman" w:cs="Times New Roman"/>
          <w:sz w:val="24"/>
          <w:szCs w:val="24"/>
          <w:lang w:val="en-US"/>
        </w:rPr>
        <w:t xml:space="preserve">A </w:t>
      </w:r>
      <w:r w:rsidRPr="00062D8D">
        <w:rPr>
          <w:rFonts w:ascii="Times New Roman" w:hAnsi="Times New Roman" w:cs="Times New Roman"/>
          <w:sz w:val="24"/>
          <w:szCs w:val="24"/>
          <w:lang w:val="en-US"/>
        </w:rPr>
        <w:t>PMF profiles for 14 non-charged beads; B Comparison of experimental and predicted logKp</w:t>
      </w:r>
    </w:p>
    <w:p w14:paraId="2A2D418F" w14:textId="77777777" w:rsidR="004F2192" w:rsidRPr="00062D8D" w:rsidRDefault="004F2192" w:rsidP="005A2105">
      <w:pPr>
        <w:ind w:firstLine="397"/>
        <w:jc w:val="both"/>
        <w:rPr>
          <w:rFonts w:ascii="Times New Roman" w:hAnsi="Times New Roman" w:cs="Times New Roman"/>
          <w:sz w:val="24"/>
          <w:szCs w:val="24"/>
          <w:lang w:val="en-US"/>
        </w:rPr>
      </w:pPr>
    </w:p>
    <w:p w14:paraId="0000000B" w14:textId="7BDE63B9" w:rsidR="002A666A" w:rsidRDefault="00F64665" w:rsidP="00043365">
      <w:pPr>
        <w:jc w:val="center"/>
        <w:rPr>
          <w:rFonts w:ascii="Times New Roman" w:eastAsia="Times New Roman" w:hAnsi="Times New Roman" w:cs="Times New Roman"/>
          <w:b/>
          <w:sz w:val="24"/>
          <w:szCs w:val="24"/>
          <w:lang w:val="en-US"/>
        </w:rPr>
      </w:pPr>
      <w:r w:rsidRPr="00062D8D">
        <w:rPr>
          <w:rFonts w:ascii="Times New Roman" w:eastAsia="Times New Roman" w:hAnsi="Times New Roman" w:cs="Times New Roman"/>
          <w:b/>
          <w:sz w:val="24"/>
          <w:szCs w:val="24"/>
          <w:lang w:val="en-US"/>
        </w:rPr>
        <w:t>References</w:t>
      </w:r>
    </w:p>
    <w:p w14:paraId="1BAA8C6F" w14:textId="3DDC745B" w:rsidR="00062D8D" w:rsidRPr="00062D8D" w:rsidRDefault="00062D8D" w:rsidP="00062D8D">
      <w:pPr>
        <w:rPr>
          <w:rFonts w:ascii="Times New Roman" w:eastAsia="Times New Roman" w:hAnsi="Times New Roman" w:cs="Times New Roman"/>
          <w:bCs/>
          <w:sz w:val="24"/>
          <w:szCs w:val="24"/>
          <w:lang w:val="en-US"/>
        </w:rPr>
      </w:pPr>
      <w:r w:rsidRPr="00062D8D">
        <w:rPr>
          <w:rFonts w:ascii="Times New Roman" w:eastAsia="Times New Roman" w:hAnsi="Times New Roman" w:cs="Times New Roman"/>
          <w:bCs/>
          <w:sz w:val="24"/>
          <w:szCs w:val="24"/>
          <w:lang w:val="en-US"/>
        </w:rPr>
        <w:t>1.</w:t>
      </w:r>
      <w:r>
        <w:rPr>
          <w:rFonts w:ascii="Times New Roman" w:eastAsia="Times New Roman" w:hAnsi="Times New Roman" w:cs="Times New Roman"/>
          <w:bCs/>
          <w:sz w:val="24"/>
          <w:szCs w:val="24"/>
          <w:lang w:val="en-US"/>
        </w:rPr>
        <w:t xml:space="preserve"> </w:t>
      </w:r>
      <w:r w:rsidRPr="00062D8D">
        <w:rPr>
          <w:rFonts w:ascii="Times New Roman" w:eastAsia="Times New Roman" w:hAnsi="Times New Roman" w:cs="Times New Roman"/>
          <w:bCs/>
          <w:sz w:val="24"/>
          <w:szCs w:val="24"/>
          <w:lang w:val="en-US"/>
        </w:rPr>
        <w:t>Hoffmann C. et al. Molecular dynamics trajectories for 630 coarse-grained drug-membrane permeations: 1 // Sci Data. Nature Publishing Group, 2020. Vol. 7, № 1. P. 1–7.</w:t>
      </w:r>
    </w:p>
    <w:p w14:paraId="1DA4AE3D" w14:textId="400B9F15" w:rsidR="00062D8D" w:rsidRPr="00062D8D" w:rsidRDefault="00062D8D" w:rsidP="00062D8D">
      <w:pPr>
        <w:rPr>
          <w:rFonts w:ascii="Times New Roman" w:eastAsia="Times New Roman" w:hAnsi="Times New Roman" w:cs="Times New Roman"/>
          <w:bCs/>
          <w:sz w:val="24"/>
          <w:szCs w:val="24"/>
          <w:lang w:val="en-US"/>
        </w:rPr>
      </w:pPr>
      <w:r w:rsidRPr="00062D8D">
        <w:rPr>
          <w:rFonts w:ascii="Times New Roman" w:eastAsia="Times New Roman" w:hAnsi="Times New Roman" w:cs="Times New Roman"/>
          <w:bCs/>
          <w:sz w:val="24"/>
          <w:szCs w:val="24"/>
          <w:lang w:val="en-US"/>
        </w:rPr>
        <w:t>2.</w:t>
      </w:r>
      <w:r>
        <w:rPr>
          <w:rFonts w:ascii="Times New Roman" w:eastAsia="Times New Roman" w:hAnsi="Times New Roman" w:cs="Times New Roman"/>
          <w:bCs/>
          <w:sz w:val="24"/>
          <w:szCs w:val="24"/>
          <w:lang w:val="en-US"/>
        </w:rPr>
        <w:t xml:space="preserve"> </w:t>
      </w:r>
      <w:r w:rsidRPr="00062D8D">
        <w:rPr>
          <w:rFonts w:ascii="Times New Roman" w:eastAsia="Times New Roman" w:hAnsi="Times New Roman" w:cs="Times New Roman"/>
          <w:bCs/>
          <w:sz w:val="24"/>
          <w:szCs w:val="24"/>
          <w:lang w:val="en-US"/>
        </w:rPr>
        <w:t>Vasyuchenko E.P. et al. CPE-DB: An Open Database of Chemical Penetration Enhancers: 1 // Pharmaceutics. Multidisciplinary Digital Publishing Institute, 2021. Vol. 13, № 1. P. 66.</w:t>
      </w:r>
    </w:p>
    <w:sectPr w:rsidR="00062D8D" w:rsidRPr="00062D8D">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C815C" w14:textId="77777777" w:rsidR="00B72F63" w:rsidRDefault="00B72F63" w:rsidP="0053359B">
      <w:pPr>
        <w:spacing w:line="240" w:lineRule="auto"/>
      </w:pPr>
      <w:r>
        <w:separator/>
      </w:r>
    </w:p>
  </w:endnote>
  <w:endnote w:type="continuationSeparator" w:id="0">
    <w:p w14:paraId="3801DA69" w14:textId="77777777" w:rsidR="00B72F63" w:rsidRDefault="00B72F63" w:rsidP="005335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F1627" w14:textId="77777777" w:rsidR="00B72F63" w:rsidRDefault="00B72F63" w:rsidP="0053359B">
      <w:pPr>
        <w:spacing w:line="240" w:lineRule="auto"/>
      </w:pPr>
      <w:r>
        <w:separator/>
      </w:r>
    </w:p>
  </w:footnote>
  <w:footnote w:type="continuationSeparator" w:id="0">
    <w:p w14:paraId="6E745F35" w14:textId="77777777" w:rsidR="00B72F63" w:rsidRDefault="00B72F63" w:rsidP="0053359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4C738A"/>
    <w:multiLevelType w:val="multilevel"/>
    <w:tmpl w:val="7A7694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9088839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66A"/>
    <w:rsid w:val="00043365"/>
    <w:rsid w:val="00056A0D"/>
    <w:rsid w:val="00062D8D"/>
    <w:rsid w:val="001371CA"/>
    <w:rsid w:val="00184DF0"/>
    <w:rsid w:val="00225A3B"/>
    <w:rsid w:val="002A666A"/>
    <w:rsid w:val="00303663"/>
    <w:rsid w:val="004F2192"/>
    <w:rsid w:val="0053359B"/>
    <w:rsid w:val="00544D8E"/>
    <w:rsid w:val="005866DB"/>
    <w:rsid w:val="005A2105"/>
    <w:rsid w:val="006B1998"/>
    <w:rsid w:val="00810EEB"/>
    <w:rsid w:val="009E0300"/>
    <w:rsid w:val="00A34F21"/>
    <w:rsid w:val="00A37EFD"/>
    <w:rsid w:val="00A97B13"/>
    <w:rsid w:val="00AB205B"/>
    <w:rsid w:val="00B72F63"/>
    <w:rsid w:val="00BC6E74"/>
    <w:rsid w:val="00CF5FA2"/>
    <w:rsid w:val="00D0064E"/>
    <w:rsid w:val="00DC1CAC"/>
    <w:rsid w:val="00DE56DF"/>
    <w:rsid w:val="00E95A8C"/>
    <w:rsid w:val="00ED0CA3"/>
    <w:rsid w:val="00F109B9"/>
    <w:rsid w:val="00F646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03F773"/>
  <w15:docId w15:val="{D88AFB7B-43AD-4D59-BC1F-2DDEEBA36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sz w:val="22"/>
        <w:szCs w:val="22"/>
        <w:lang w:val="ru"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rFonts w:eastAsia="Arial"/>
      <w:color w:val="666666"/>
      <w:sz w:val="30"/>
      <w:szCs w:val="30"/>
    </w:rPr>
  </w:style>
  <w:style w:type="paragraph" w:styleId="a5">
    <w:name w:val="header"/>
    <w:basedOn w:val="a"/>
    <w:link w:val="a6"/>
    <w:uiPriority w:val="99"/>
    <w:unhideWhenUsed/>
    <w:rsid w:val="0053359B"/>
    <w:pPr>
      <w:pBdr>
        <w:bottom w:val="single" w:sz="6" w:space="1" w:color="auto"/>
      </w:pBdr>
      <w:tabs>
        <w:tab w:val="center" w:pos="4153"/>
        <w:tab w:val="right" w:pos="8306"/>
      </w:tabs>
      <w:snapToGrid w:val="0"/>
      <w:spacing w:line="240" w:lineRule="auto"/>
      <w:jc w:val="center"/>
    </w:pPr>
    <w:rPr>
      <w:sz w:val="18"/>
      <w:szCs w:val="18"/>
    </w:rPr>
  </w:style>
  <w:style w:type="character" w:customStyle="1" w:styleId="a6">
    <w:name w:val="页眉 字符"/>
    <w:basedOn w:val="a0"/>
    <w:link w:val="a5"/>
    <w:uiPriority w:val="99"/>
    <w:rsid w:val="0053359B"/>
    <w:rPr>
      <w:sz w:val="18"/>
      <w:szCs w:val="18"/>
    </w:rPr>
  </w:style>
  <w:style w:type="paragraph" w:styleId="a7">
    <w:name w:val="footer"/>
    <w:basedOn w:val="a"/>
    <w:link w:val="a8"/>
    <w:uiPriority w:val="99"/>
    <w:unhideWhenUsed/>
    <w:rsid w:val="0053359B"/>
    <w:pPr>
      <w:tabs>
        <w:tab w:val="center" w:pos="4153"/>
        <w:tab w:val="right" w:pos="8306"/>
      </w:tabs>
      <w:snapToGrid w:val="0"/>
      <w:spacing w:line="240" w:lineRule="auto"/>
    </w:pPr>
    <w:rPr>
      <w:sz w:val="18"/>
      <w:szCs w:val="18"/>
    </w:rPr>
  </w:style>
  <w:style w:type="character" w:customStyle="1" w:styleId="a8">
    <w:name w:val="页脚 字符"/>
    <w:basedOn w:val="a0"/>
    <w:link w:val="a7"/>
    <w:uiPriority w:val="99"/>
    <w:rsid w:val="0053359B"/>
    <w:rPr>
      <w:sz w:val="18"/>
      <w:szCs w:val="18"/>
    </w:rPr>
  </w:style>
  <w:style w:type="paragraph" w:styleId="a9">
    <w:name w:val="Bibliography"/>
    <w:basedOn w:val="a"/>
    <w:next w:val="a"/>
    <w:uiPriority w:val="37"/>
    <w:unhideWhenUsed/>
    <w:rsid w:val="00043365"/>
    <w:pPr>
      <w:tabs>
        <w:tab w:val="left" w:pos="264"/>
      </w:tabs>
      <w:spacing w:line="240" w:lineRule="auto"/>
      <w:ind w:left="264" w:hanging="26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1037</Words>
  <Characters>5917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dc:creator>
  <cp:lastModifiedBy>hui pu</cp:lastModifiedBy>
  <cp:revision>2</cp:revision>
  <dcterms:created xsi:type="dcterms:W3CDTF">2023-03-17T09:31:00Z</dcterms:created>
  <dcterms:modified xsi:type="dcterms:W3CDTF">2023-03-17T09:31:00Z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zotero-version="6.0.23"&gt;&lt;session id="ah9lize9"/&gt;&lt;style id="http://www.zotero.org/styles/gost-r-7-0-5-2008-numeric" hasBibliography="1" bibliographyStyleHasBeenSet="1"/&gt;&lt;prefs&gt;&lt;pref name="fieldType" value="Field"/&gt;&lt;/prefs&gt;&lt;/data&gt;</vt:lpwstr>
  </property>
</Properties>
</file>