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AEF0" w14:textId="77777777" w:rsidR="00B648CB" w:rsidRPr="00B648CB" w:rsidRDefault="00B648CB" w:rsidP="00B648CB">
      <w:pPr>
        <w:shd w:val="clear" w:color="auto" w:fill="FFFFFF"/>
        <w:jc w:val="center"/>
        <w:rPr>
          <w:rFonts w:eastAsia="宋体"/>
          <w:color w:val="000000"/>
          <w:lang w:val="en-US" w:eastAsia="zh-CN"/>
        </w:rPr>
      </w:pPr>
      <w:r w:rsidRPr="00B648CB">
        <w:rPr>
          <w:rFonts w:eastAsia="宋体"/>
          <w:b/>
          <w:bCs/>
          <w:color w:val="000000"/>
          <w:lang w:val="en-US" w:eastAsia="zh-CN"/>
        </w:rPr>
        <w:t>Testate amoebae communities in aquatic and semi-aquatic habitats of Caucasus region</w:t>
      </w:r>
    </w:p>
    <w:p w14:paraId="12F3EDA1" w14:textId="77777777" w:rsidR="00B648CB" w:rsidRPr="00B648CB" w:rsidRDefault="00B648CB" w:rsidP="00B648CB">
      <w:pPr>
        <w:shd w:val="clear" w:color="auto" w:fill="FFFFFF"/>
        <w:jc w:val="center"/>
        <w:rPr>
          <w:rFonts w:eastAsia="宋体"/>
          <w:color w:val="000000"/>
          <w:lang w:val="en-US" w:eastAsia="zh-CN"/>
        </w:rPr>
      </w:pPr>
      <w:r w:rsidRPr="00B648CB">
        <w:rPr>
          <w:rFonts w:eastAsia="宋体" w:hint="eastAsia"/>
          <w:b/>
          <w:bCs/>
          <w:i/>
          <w:iCs/>
          <w:color w:val="000000"/>
          <w:lang w:val="en-US" w:eastAsia="zh-CN"/>
        </w:rPr>
        <w:t>Zhu Wen</w:t>
      </w:r>
    </w:p>
    <w:p w14:paraId="32EFF50F" w14:textId="77777777" w:rsidR="00B648CB" w:rsidRPr="00B648CB" w:rsidRDefault="00B648CB" w:rsidP="00B648CB">
      <w:pPr>
        <w:shd w:val="clear" w:color="auto" w:fill="FFFFFF"/>
        <w:jc w:val="center"/>
        <w:rPr>
          <w:rFonts w:eastAsia="宋体"/>
          <w:color w:val="000000"/>
          <w:lang w:val="en-US" w:eastAsia="zh-CN"/>
        </w:rPr>
      </w:pPr>
      <w:r w:rsidRPr="00B648CB">
        <w:rPr>
          <w:rFonts w:eastAsia="宋体"/>
          <w:i/>
          <w:iCs/>
          <w:color w:val="000000"/>
          <w:lang w:val="en-US" w:eastAsia="zh-CN"/>
        </w:rPr>
        <w:t xml:space="preserve">Student, </w:t>
      </w:r>
      <w:r w:rsidRPr="00B648CB">
        <w:rPr>
          <w:rFonts w:eastAsia="宋体" w:hint="eastAsia"/>
          <w:i/>
          <w:iCs/>
          <w:color w:val="000000"/>
          <w:lang w:val="en-US" w:eastAsia="zh-CN"/>
        </w:rPr>
        <w:t>2</w:t>
      </w:r>
      <w:r w:rsidRPr="00B648CB">
        <w:rPr>
          <w:rFonts w:eastAsia="宋体"/>
          <w:i/>
          <w:iCs/>
          <w:color w:val="000000"/>
          <w:lang w:val="en-US" w:eastAsia="zh-CN"/>
        </w:rPr>
        <w:t xml:space="preserve">th year of the master's degree </w:t>
      </w:r>
    </w:p>
    <w:p w14:paraId="3A990370" w14:textId="77777777" w:rsidR="00B648CB" w:rsidRPr="00B648CB" w:rsidRDefault="00B648CB" w:rsidP="00B648CB">
      <w:pPr>
        <w:shd w:val="clear" w:color="auto" w:fill="FFFFFF"/>
        <w:jc w:val="center"/>
        <w:rPr>
          <w:rFonts w:eastAsia="宋体"/>
          <w:i/>
          <w:iCs/>
          <w:color w:val="000000"/>
          <w:lang w:val="en-US" w:eastAsia="zh-CN"/>
        </w:rPr>
      </w:pPr>
      <w:r w:rsidRPr="00B648CB">
        <w:rPr>
          <w:rFonts w:eastAsia="宋体"/>
          <w:i/>
          <w:iCs/>
          <w:color w:val="000000"/>
          <w:lang w:val="en-US" w:eastAsia="zh-CN"/>
        </w:rPr>
        <w:t xml:space="preserve">Shenzhen </w:t>
      </w:r>
      <w:r w:rsidRPr="00B648CB">
        <w:rPr>
          <w:rFonts w:eastAsia="宋体" w:hint="eastAsia"/>
          <w:i/>
          <w:iCs/>
          <w:color w:val="000000"/>
          <w:lang w:val="en-US" w:eastAsia="zh-CN"/>
        </w:rPr>
        <w:t>MSU-BIT</w:t>
      </w:r>
      <w:r w:rsidRPr="00B648CB">
        <w:rPr>
          <w:rFonts w:eastAsia="宋体"/>
          <w:i/>
          <w:iCs/>
          <w:color w:val="000000"/>
          <w:lang w:val="en-US" w:eastAsia="zh-CN"/>
        </w:rPr>
        <w:t xml:space="preserve"> University</w:t>
      </w:r>
    </w:p>
    <w:p w14:paraId="1B25A200" w14:textId="77777777" w:rsidR="00B648CB" w:rsidRPr="00B648CB" w:rsidRDefault="00B648CB" w:rsidP="00B648CB">
      <w:pPr>
        <w:shd w:val="clear" w:color="auto" w:fill="FFFFFF"/>
        <w:jc w:val="center"/>
        <w:rPr>
          <w:rFonts w:eastAsia="宋体"/>
          <w:color w:val="000000"/>
          <w:lang w:val="en-US" w:eastAsia="zh-CN"/>
        </w:rPr>
      </w:pPr>
      <w:r w:rsidRPr="00B648CB">
        <w:rPr>
          <w:rFonts w:eastAsia="宋体"/>
          <w:i/>
          <w:iCs/>
          <w:color w:val="000000"/>
          <w:lang w:val="en-US" w:eastAsia="zh-CN"/>
        </w:rPr>
        <w:t xml:space="preserve">E-mail: </w:t>
      </w:r>
      <w:hyperlink r:id="rId8" w:history="1">
        <w:r w:rsidRPr="00B648CB">
          <w:rPr>
            <w:rFonts w:eastAsia="宋体" w:hint="eastAsia"/>
            <w:i/>
            <w:iCs/>
            <w:color w:val="000000"/>
            <w:u w:val="single"/>
            <w:lang w:val="en-US" w:eastAsia="zh-CN"/>
          </w:rPr>
          <w:t>2120210083</w:t>
        </w:r>
        <w:r w:rsidRPr="00B648CB">
          <w:rPr>
            <w:rFonts w:eastAsia="宋体"/>
            <w:i/>
            <w:iCs/>
            <w:color w:val="000000"/>
            <w:u w:val="single"/>
            <w:lang w:val="en-US" w:eastAsia="zh-CN"/>
          </w:rPr>
          <w:t>@</w:t>
        </w:r>
        <w:r w:rsidRPr="00B648CB">
          <w:rPr>
            <w:rFonts w:eastAsia="宋体" w:hint="eastAsia"/>
            <w:i/>
            <w:iCs/>
            <w:color w:val="000000"/>
            <w:u w:val="single"/>
            <w:lang w:val="en-US" w:eastAsia="zh-CN"/>
          </w:rPr>
          <w:t>s</w:t>
        </w:r>
      </w:hyperlink>
      <w:r w:rsidRPr="00B648CB">
        <w:rPr>
          <w:rFonts w:eastAsia="宋体" w:hint="eastAsia"/>
          <w:i/>
          <w:iCs/>
          <w:color w:val="000000"/>
          <w:u w:val="single"/>
          <w:lang w:val="en-US" w:eastAsia="zh-CN"/>
        </w:rPr>
        <w:t>mbu.edu.cn</w:t>
      </w:r>
    </w:p>
    <w:p w14:paraId="0DC4AA54" w14:textId="0482ED75" w:rsidR="00B648CB" w:rsidRPr="00B648CB" w:rsidRDefault="00B648CB" w:rsidP="00B648CB">
      <w:pPr>
        <w:shd w:val="clear" w:color="auto" w:fill="FFFFFF"/>
        <w:ind w:firstLine="397"/>
        <w:jc w:val="both"/>
        <w:rPr>
          <w:rFonts w:eastAsia="宋体"/>
          <w:color w:val="000000"/>
          <w:lang w:val="en-US" w:eastAsia="zh-CN"/>
        </w:rPr>
      </w:pPr>
      <w:bookmarkStart w:id="0" w:name="_Hlk129815879"/>
      <w:bookmarkStart w:id="1" w:name="OLE_LINK2"/>
      <w:bookmarkEnd w:id="0"/>
      <w:r w:rsidRPr="00B648CB">
        <w:rPr>
          <w:rFonts w:eastAsia="宋体"/>
          <w:color w:val="000000"/>
          <w:lang w:val="en-US" w:eastAsia="zh-CN"/>
        </w:rPr>
        <w:t>Testate amoebae are unicellular eukaryotes that are ubiquitous in aquatic and semi-aquatic habitats, and they play an essential role in the biogeochemical cycling of nutrients and energy</w:t>
      </w:r>
      <w:bookmarkEnd w:id="1"/>
      <w:r w:rsidR="00C75B43" w:rsidRPr="000A0C1C">
        <w:rPr>
          <w:rFonts w:eastAsia="宋体"/>
          <w:color w:val="000000"/>
          <w:vertAlign w:val="superscript"/>
          <w:lang w:val="en-US" w:eastAsia="zh-CN"/>
        </w:rPr>
        <w:fldChar w:fldCharType="begin"/>
      </w:r>
      <w:r w:rsidR="000A0C1C" w:rsidRPr="000A0C1C">
        <w:rPr>
          <w:rFonts w:eastAsia="宋体"/>
          <w:color w:val="000000"/>
          <w:vertAlign w:val="superscript"/>
          <w:lang w:val="en-US" w:eastAsia="zh-CN"/>
        </w:rPr>
        <w:instrText xml:space="preserve"> ADDIN ZOTERO_ITEM CSL_CITATION {"citationID":"C6ePcrwn","properties":{"formattedCitation":"[2, 4]","plainCitation":"[2, 4]","noteIndex":0},"citationItems":[{"id":341,"uris":["http://zotero.org/users/local/EuaY6xN9/items/5QCCB24G"],"itemData":{"id":341,"type":"article-journal","abstract":"We studied the relationship between testate amoebae (Protozoa) communities and the depth to the water table (DWT), pH, conductivity, and microhabitat type in Sphagnum dominated peatlands of north-western Poland and built predictive (transfer function) models for inferring DWT and pH based on the testate amoebae community structure. Such models can be used for peatland monitoring and paleoecology. A total of 52 testate amoebae taxa were recorded. In a redundancy analysis, DWT and pH explained 20.1% of the variation in the species data and allowed us to identify three groups of taxa: species that are associated with (1) high DWT and low pH, (2) low DWT and low pH, and (3) high pH and mid-range DWT. Our transfer function models allow DWT and pH to be estimated with mean errors of 9.89 cm and 0.71 pH units. The prediction error of the DWT model and the tolerance of the species both increase with increasing dryness. This pattern mirrors the ecology of Sphagnum mosses: Species growing in wet habitats are more sensitive to change in water table depth than the species growing in drier microhabitats. Our results are consistent with studies of testate amoeba ecology in other regions, and they provide additional support for the use of these organisms in paleoecological and biomonitoring contexts.","container-title":"Microbial Ecology","DOI":"10.1007/s00248-004-0105-8","ISSN":"1432-184X","issue":"1","journalAbbreviation":"Microb Ecol","language":"en","page":"48-63","source":"Springer Link","title":"The Ecology of Testate Amoebae (Protists) in Sphagnum in North-western Poland in Relation to Peatland Ecology","volume":"50","author":[{"family":"Lamentowicz","given":"Mariusz"},{"family":"Mitchell","given":"Edward A. D."}],"issued":{"date-parts":[["2005",7,1]]}},"label":"act"},{"id":344,"uris":["http://zotero.org/users/local/EuaY6xN9/items/6BJWEEE6"],"itemData":{"id":344,"type":"article-journal","abstract":"We asked the following question: Is the lack of attention given to testate amoebae, and other protists, in studies of nutrient cycling justified by their relative unimportance or are we ignoring key players in nutrient cycling and other ecological processes? We review various aspects of the ecology of testates relevant to their role in nutrient cycling. These include their food sources, their population sizes and production ecology, the rate of test breakdown (and hence recycling of material from testates to other organisms) and non-feeding interactions with other organisms (e.g., mychorrhizae). Much of the relevant published literature dates from the late 1960s to the early 1980s, presumably due to the interest in production ecology and other aspects of ecosystem ecology at this time. There was a reduction in relevant research during the 1980s and 1990s, but there has recently been signs of renewed interest in this area. In addition to reviewing the past literature we suggest new speculations about the role of the evolution of grasses and the rise of the euglyphid testates—mediated by the silica cycle. Our main conclusion is that we currently do not know enough to answer our question about their potential importance! However, there are hints in these data which suggest that testates may be important and should be targeted by future research. Some of the main questions that should be targeted are outlined.","container-title":"Geomicrobiology Journal","DOI":"10.1080/01490451003702925","journalAbbreviation":"Geomicrobiology Journal","page":"520-533","source":"ResearchGate","title":"Testate Amoebae and Nutrient Cycling with Particular Reference to Soils","volume":"27","author":[{"family":"Wilkinson","given":"David"},{"family":"Mitchell","given":"Edward"}],"issued":{"date-parts":[["2010",9,10]]}},"label":"page"}],"schema":"https://github.com/citation-style-language/schema/raw/master/csl-citation.json"} </w:instrText>
      </w:r>
      <w:r w:rsidR="00C75B43" w:rsidRPr="000A0C1C">
        <w:rPr>
          <w:rFonts w:eastAsia="宋体"/>
          <w:color w:val="000000"/>
          <w:vertAlign w:val="superscript"/>
          <w:lang w:val="en-US" w:eastAsia="zh-CN"/>
        </w:rPr>
        <w:fldChar w:fldCharType="separate"/>
      </w:r>
      <w:r w:rsidR="000A0C1C" w:rsidRPr="00F4633F">
        <w:rPr>
          <w:rFonts w:eastAsia="宋体"/>
        </w:rPr>
        <w:t>[</w:t>
      </w:r>
      <w:r w:rsidR="006C7B84">
        <w:rPr>
          <w:rFonts w:eastAsia="宋体"/>
        </w:rPr>
        <w:t xml:space="preserve">1, </w:t>
      </w:r>
      <w:r w:rsidR="000A0C1C" w:rsidRPr="00F4633F">
        <w:rPr>
          <w:rFonts w:eastAsia="宋体"/>
        </w:rPr>
        <w:t>2]</w:t>
      </w:r>
      <w:r w:rsidR="00C75B43" w:rsidRPr="000A0C1C">
        <w:rPr>
          <w:rFonts w:eastAsia="宋体"/>
          <w:color w:val="000000"/>
          <w:vertAlign w:val="superscript"/>
          <w:lang w:val="en-US" w:eastAsia="zh-CN"/>
        </w:rPr>
        <w:fldChar w:fldCharType="end"/>
      </w:r>
      <w:r w:rsidR="00C75B43" w:rsidRPr="00B648CB">
        <w:rPr>
          <w:rFonts w:eastAsia="宋体"/>
          <w:color w:val="000000"/>
          <w:lang w:val="en-US" w:eastAsia="zh-CN"/>
        </w:rPr>
        <w:t xml:space="preserve">. </w:t>
      </w:r>
      <w:r w:rsidRPr="00B648CB">
        <w:rPr>
          <w:rFonts w:eastAsia="宋体"/>
          <w:color w:val="000000"/>
          <w:lang w:val="en-US" w:eastAsia="zh-CN"/>
        </w:rPr>
        <w:t>The Caucasus region is known for its high biodiversity</w:t>
      </w:r>
      <w:r w:rsidR="007D2FF8" w:rsidRPr="00F4633F">
        <w:rPr>
          <w:rFonts w:eastAsia="宋体"/>
          <w:color w:val="000000"/>
          <w:lang w:val="en-US" w:eastAsia="zh-CN"/>
        </w:rPr>
        <w:fldChar w:fldCharType="begin"/>
      </w:r>
      <w:r w:rsidR="000A0C1C" w:rsidRPr="00F4633F">
        <w:rPr>
          <w:rFonts w:eastAsia="宋体"/>
          <w:color w:val="000000"/>
          <w:lang w:val="en-US" w:eastAsia="zh-CN"/>
        </w:rPr>
        <w:instrText xml:space="preserve"> ADDIN ZOTERO_ITEM CSL_CITATION {"citationID":"B8WktDR3","properties":{"formattedCitation":"[3]","plainCitation":"[3]","noteIndex":0},"citationItems":[{"id":337,"uris":["http://zotero.org/users/local/EuaY6xN9/items/GR8EYDAQ"],"itemData":{"id":337,"type":"article-journal","abstract":"Along with high degree of vascular plant endemism (more than 25%) the existence of two refugia\nof the Tertiary flora – Colchic and Hyrcanian – are the most unique features of the Caucasus\necoregion. Likewise, Colchic and Hyrcanian forests are classified as temperate\nrainforests.There are certain physical-geographical and biological similarities and even more\ndifferences between Colchic and Hyrcanian regions, reflected on compositions of flora, types\nof vegetation zonation, as well as spectrums of vegetation formations. An “individualities” of\nthese two unique nature phenomena definethe necessity of their equal and effective conservation.\nCurrently, the Colchic forests are better protected: almost half a million hectares, or 16.5%\nof Colchic region, is covered by protected areas, but there are still some evident gaps to be filled\nwith regard to improve spatial structure of protected areas system and properly cover the most\nvulnerable ecosystems. More problematic situation is observed in case of Hyrcanian forests,\nparticularly in Iranian part: lack of high categories of protected areas (IUCN categories I-IV),\nin terms of both number and territory, is the main obstacle for development of protected areas\nsystem in Hyrcanian region.","container-title":"Flora Mediterranea","DOI":"10.7320/FlMedit25SI.185","journalAbbreviation":"Flora Mediterranea","page":"185-192","source":"ResearchGate","title":"Colchic and Hyrcanian forests of the Caucasus: Similarities, differences and conservation status","title-short":"Colchic and Hyrcanian forests of the Caucasus","volume":"25","author":[{"family":"Nakhutsrishvili","given":"G."},{"family":"Zazanashvili","given":"Nugzar"},{"family":"Batsatsashvili","given":"Ketevan"},{"family":"Mancheno","given":"C."}],"issued":{"date-parts":[["2015",11,26]]}}}],"schema":"https://github.com/citation-style-language/schema/raw/master/csl-citation.json"} </w:instrText>
      </w:r>
      <w:r w:rsidR="007D2FF8" w:rsidRPr="00F4633F">
        <w:rPr>
          <w:rFonts w:eastAsia="宋体"/>
          <w:color w:val="000000"/>
          <w:lang w:val="en-US" w:eastAsia="zh-CN"/>
        </w:rPr>
        <w:fldChar w:fldCharType="separate"/>
      </w:r>
      <w:r w:rsidR="000A0C1C" w:rsidRPr="00F4633F">
        <w:rPr>
          <w:rFonts w:eastAsia="宋体"/>
        </w:rPr>
        <w:t>[3]</w:t>
      </w:r>
      <w:r w:rsidR="007D2FF8" w:rsidRPr="00F4633F">
        <w:rPr>
          <w:rFonts w:eastAsia="宋体"/>
          <w:color w:val="000000"/>
          <w:lang w:val="en-US" w:eastAsia="zh-CN"/>
        </w:rPr>
        <w:fldChar w:fldCharType="end"/>
      </w:r>
      <w:r w:rsidRPr="00B648CB">
        <w:rPr>
          <w:rFonts w:eastAsia="宋体"/>
          <w:color w:val="000000"/>
          <w:lang w:val="en-US" w:eastAsia="zh-CN"/>
        </w:rPr>
        <w:t>, but the factors that shape the communities of testate amoebae in this region are not well understood. In this study, we aim to investigate the diversity and community structure of testate amoebae in aquatic and semi-aquatic habitats in the Caucasus region and to identify the spatial scale of the factors that influence testate amoeba communit</w:t>
      </w:r>
      <w:r w:rsidR="006C7B84">
        <w:rPr>
          <w:rFonts w:eastAsia="宋体"/>
          <w:color w:val="000000"/>
          <w:lang w:val="en-US" w:eastAsia="zh-CN"/>
        </w:rPr>
        <w:t>y</w:t>
      </w:r>
      <w:r w:rsidRPr="00B648CB">
        <w:rPr>
          <w:rFonts w:eastAsia="宋体"/>
          <w:color w:val="000000"/>
          <w:lang w:val="en-US" w:eastAsia="zh-CN"/>
        </w:rPr>
        <w:t xml:space="preserve"> distribution patterns.</w:t>
      </w:r>
    </w:p>
    <w:p w14:paraId="4CC70134" w14:textId="7764D543" w:rsidR="00B648CB" w:rsidRPr="00B648CB" w:rsidRDefault="00B648CB" w:rsidP="00B648CB">
      <w:pPr>
        <w:shd w:val="clear" w:color="auto" w:fill="FFFFFF"/>
        <w:ind w:firstLine="397"/>
        <w:jc w:val="both"/>
        <w:rPr>
          <w:rFonts w:eastAsia="宋体"/>
          <w:color w:val="000000"/>
          <w:lang w:val="en-US" w:eastAsia="zh-CN"/>
        </w:rPr>
      </w:pPr>
      <w:r w:rsidRPr="00B648CB">
        <w:rPr>
          <w:rFonts w:eastAsia="宋体"/>
          <w:color w:val="000000"/>
          <w:lang w:val="en-US" w:eastAsia="zh-CN"/>
        </w:rPr>
        <w:t>To achieve our research goals, we used</w:t>
      </w:r>
      <w:r>
        <w:rPr>
          <w:rFonts w:eastAsia="宋体"/>
          <w:color w:val="000000"/>
          <w:lang w:val="en-US" w:eastAsia="zh-CN"/>
        </w:rPr>
        <w:t xml:space="preserve"> </w:t>
      </w:r>
      <w:r w:rsidRPr="00B648CB">
        <w:rPr>
          <w:rFonts w:eastAsia="宋体"/>
          <w:color w:val="000000"/>
          <w:lang w:val="en-US" w:eastAsia="zh-CN"/>
        </w:rPr>
        <w:t>a dataset of 72 samples from four different kinds of biotopes, including terrestrial habitats, ponds, mires, and stream habitats. However, basing on the species accumulation curves, we found that the number of samples in the stream and pond habitats was not enough. Therefore, we decided to combine these habitats into a single type of “aquatic biotopes” for further analysis. We employed an analysis of additive partitioning of diversity</w:t>
      </w:r>
      <w:r w:rsidR="000A0C1C" w:rsidRPr="00F4633F">
        <w:rPr>
          <w:rFonts w:eastAsia="宋体"/>
          <w:color w:val="000000"/>
          <w:lang w:val="en-US" w:eastAsia="zh-CN"/>
        </w:rPr>
        <w:fldChar w:fldCharType="begin"/>
      </w:r>
      <w:r w:rsidR="000A0C1C" w:rsidRPr="00F4633F">
        <w:rPr>
          <w:rFonts w:eastAsia="宋体"/>
          <w:color w:val="000000"/>
          <w:lang w:val="en-US" w:eastAsia="zh-CN"/>
        </w:rPr>
        <w:instrText xml:space="preserve"> ADDIN ZOTERO_ITEM CSL_CITATION {"citationID":"xten5iPq","properties":{"formattedCitation":"[1]","plainCitation":"[1]","noteIndex":0},"citationItems":[{"id":143,"uris":["http://zotero.org/users/local/EuaY6xN9/items/DTEWW5Y9"],"itemData":{"id":143,"type":"article-journal","abstract":"Ecologists and conservation biologists are keenly interested in how patterns of species diversity change across spatial scales. We examined how additive partitioning can be used to statistically evaluate spatial patterns of species diversity and develop conservation strategies. We applied additive partitioning to data on arboreal beetle diversity (richness, Shannon, Simpson) collected from a nested design consisting of four hierarchical levels—trees, forest stands, sites, and ecoregions—that corresponded to increasingly broader spatial scales within the eastern deciduous forest of Ohio and Indiana ( U.S.A.). A significant percentage (relative to that of randomization tests) of total species richness and Shannon and Simpson diversity was attributed to beta diversity between ecoregions and, to a lesser extent, among sites (parks and nature preserves) within ecoregions. Hierarchical cluster analysis corroborated these findings. We also found differences between rare species (Ͻ0.05% of total abundance) and common species (Ͼ0.5% of total abundance) in the overall percentage of richness explained by each spatial scale. Rare species accounted for the majority (45%) of the 583 total beetle species in our study and were strongly influenced by broad spatial scales (i.e., ecoregions), whereas the richness of common species was significantly greater than expected across the range of spatial scales ( from trees to ecoregions). Our results suggest that the most effective way to preserve beetle diversity in the eastern deciduous forest of the United States is to acquire and protect multiple sites within different ecoregions. More generally, we advocate the use of diversity partitioning because it complements existing models in conservation biology and provides a unique approach to understanding species diversity across spatial scales.","container-title":"Conservation Biology","DOI":"10.1046/j.1523-1739.2003.01465.x","ISSN":"0888-8892, 1523-1739","issue":"2","journalAbbreviation":"Conservation Biology","language":"en","page":"488-499","source":"DOI.org (Crossref)","title":"Additive Partitioning of Species Diversity across Multiple Spatial Scales: Implications for Regional Conservation of Biodiversity","title-short":"</w:instrText>
      </w:r>
      <w:r w:rsidR="000A0C1C" w:rsidRPr="00F4633F">
        <w:rPr>
          <w:rFonts w:ascii="Segoe UI Emoji" w:eastAsia="宋体" w:hAnsi="Segoe UI Emoji" w:cs="Segoe UI Emoji"/>
          <w:color w:val="000000"/>
          <w:lang w:val="en-US" w:eastAsia="zh-CN"/>
        </w:rPr>
        <w:instrText>🔤</w:instrText>
      </w:r>
      <w:r w:rsidR="000A0C1C" w:rsidRPr="00F4633F">
        <w:rPr>
          <w:rFonts w:eastAsia="宋体" w:hint="eastAsia"/>
          <w:color w:val="000000"/>
          <w:lang w:val="en-US" w:eastAsia="zh-CN"/>
        </w:rPr>
        <w:instrText>多空间尺度物种多样性的加性分割：对区域生物多样性保护的启示</w:instrText>
      </w:r>
      <w:r w:rsidR="000A0C1C" w:rsidRPr="00F4633F">
        <w:rPr>
          <w:rFonts w:eastAsia="宋体"/>
          <w:color w:val="000000"/>
          <w:lang w:val="en-US" w:eastAsia="zh-CN"/>
        </w:rPr>
        <w:instrText xml:space="preserve">","volume":"17","author":[{"family":"Gering","given":"Jon C."},{"family":"Crist","given":"Thomas O."},{"family":"Veech","given":"Joseph A."}],"issued":{"date-parts":[["2003",4]]}}}],"schema":"https://github.com/citation-style-language/schema/raw/master/csl-citation.json"} </w:instrText>
      </w:r>
      <w:r w:rsidR="000A0C1C" w:rsidRPr="00F4633F">
        <w:rPr>
          <w:rFonts w:eastAsia="宋体"/>
          <w:color w:val="000000"/>
          <w:lang w:val="en-US" w:eastAsia="zh-CN"/>
        </w:rPr>
        <w:fldChar w:fldCharType="separate"/>
      </w:r>
      <w:r w:rsidR="000A0C1C" w:rsidRPr="00F4633F">
        <w:rPr>
          <w:rFonts w:eastAsia="宋体"/>
        </w:rPr>
        <w:t>[</w:t>
      </w:r>
      <w:r w:rsidR="006C7B84">
        <w:rPr>
          <w:rFonts w:eastAsia="宋体"/>
        </w:rPr>
        <w:t>4</w:t>
      </w:r>
      <w:r w:rsidR="000A0C1C" w:rsidRPr="00F4633F">
        <w:rPr>
          <w:rFonts w:eastAsia="宋体"/>
        </w:rPr>
        <w:t>]</w:t>
      </w:r>
      <w:r w:rsidR="000A0C1C" w:rsidRPr="00F4633F">
        <w:rPr>
          <w:rFonts w:eastAsia="宋体"/>
          <w:color w:val="000000"/>
          <w:lang w:val="en-US" w:eastAsia="zh-CN"/>
        </w:rPr>
        <w:fldChar w:fldCharType="end"/>
      </w:r>
      <w:r w:rsidRPr="00B648CB">
        <w:rPr>
          <w:rFonts w:eastAsia="宋体"/>
          <w:color w:val="000000"/>
          <w:lang w:val="en-US" w:eastAsia="zh-CN"/>
        </w:rPr>
        <w:t xml:space="preserve"> </w:t>
      </w:r>
      <w:r w:rsidR="00CE2505">
        <w:rPr>
          <w:rFonts w:eastAsia="宋体"/>
          <w:color w:val="000000"/>
          <w:lang w:val="en-US" w:eastAsia="zh-CN"/>
        </w:rPr>
        <w:t>by</w:t>
      </w:r>
      <w:r w:rsidR="00CE2505" w:rsidRPr="00B648CB">
        <w:rPr>
          <w:rFonts w:eastAsia="宋体"/>
          <w:color w:val="000000"/>
          <w:lang w:val="en-US" w:eastAsia="zh-CN"/>
        </w:rPr>
        <w:t xml:space="preserve"> </w:t>
      </w:r>
      <w:r w:rsidRPr="00B648CB">
        <w:rPr>
          <w:rFonts w:eastAsia="宋体"/>
          <w:color w:val="000000"/>
          <w:lang w:val="en-US" w:eastAsia="zh-CN"/>
        </w:rPr>
        <w:t>four hierarchical spatial levels to identify the scale of the most important environmental factors that determine the distribution and abundance of different testate amoeba species in the region. Applying of the approach of additive partitioning of diversity to very broad spatial (geographical) scale is a main novelty of our study.</w:t>
      </w:r>
    </w:p>
    <w:p w14:paraId="0985F392" w14:textId="77777777" w:rsidR="00B648CB" w:rsidRPr="00B648CB" w:rsidRDefault="00B648CB" w:rsidP="00B648CB">
      <w:pPr>
        <w:shd w:val="clear" w:color="auto" w:fill="FFFFFF"/>
        <w:ind w:firstLine="397"/>
        <w:jc w:val="both"/>
        <w:rPr>
          <w:rFonts w:eastAsia="宋体"/>
          <w:color w:val="000000"/>
          <w:lang w:val="en-US" w:eastAsia="zh-CN"/>
        </w:rPr>
      </w:pPr>
      <w:r w:rsidRPr="00B648CB">
        <w:rPr>
          <w:rFonts w:eastAsia="宋体"/>
          <w:color w:val="000000"/>
          <w:lang w:val="en-US" w:eastAsia="zh-CN"/>
        </w:rPr>
        <w:t>Our data showed that the three kinds of biotopes differed significantly in community composition, with the aquatic and mire habitats having the highest species richness and abundance. Furthermore, we found that the total diversity of testate amoebae communities in the Caucasus region was high, and the beta diversity was the dominant component of the total diversity. Overall, our study highlights the importance of considering both local and macroregional factors in understanding the diversity and distribution patterns of testate amoebae communities in the Caucasus region.</w:t>
      </w:r>
    </w:p>
    <w:p w14:paraId="72DDED0C" w14:textId="3B52752B" w:rsidR="00B648CB" w:rsidRPr="00B648CB" w:rsidRDefault="00B648CB" w:rsidP="00B648CB">
      <w:pPr>
        <w:shd w:val="clear" w:color="auto" w:fill="FFFFFF"/>
        <w:ind w:firstLine="397"/>
        <w:jc w:val="both"/>
        <w:rPr>
          <w:rFonts w:eastAsia="宋体"/>
          <w:color w:val="000000"/>
          <w:lang w:val="en-US" w:eastAsia="zh-CN"/>
        </w:rPr>
      </w:pPr>
      <w:r w:rsidRPr="00B648CB">
        <w:rPr>
          <w:rFonts w:eastAsia="宋体"/>
          <w:color w:val="000000"/>
          <w:lang w:val="en-US" w:eastAsia="zh-CN"/>
        </w:rPr>
        <w:t>In the perspective of our study, we plan to use an approach of multiplicative partitioning of diversity for the same spatial hierarchy to compare its results with ones gained from the additive partitioning approach.</w:t>
      </w:r>
    </w:p>
    <w:p w14:paraId="0000000E" w14:textId="0398AC2A" w:rsidR="00130241" w:rsidRDefault="00C676F4">
      <w:pPr>
        <w:pBdr>
          <w:top w:val="nil"/>
          <w:left w:val="nil"/>
          <w:bottom w:val="nil"/>
          <w:right w:val="nil"/>
          <w:between w:val="nil"/>
        </w:pBdr>
        <w:shd w:val="clear" w:color="auto" w:fill="FFFFFF"/>
        <w:jc w:val="center"/>
        <w:rPr>
          <w:color w:val="000000"/>
        </w:rPr>
      </w:pPr>
      <w:r>
        <w:rPr>
          <w:b/>
          <w:color w:val="000000"/>
        </w:rPr>
        <w:t>References</w:t>
      </w:r>
    </w:p>
    <w:p w14:paraId="5332770F" w14:textId="0840357F" w:rsidR="003A78C5" w:rsidRDefault="003563C8" w:rsidP="006C7B84">
      <w:pPr>
        <w:pBdr>
          <w:top w:val="nil"/>
          <w:left w:val="nil"/>
          <w:bottom w:val="nil"/>
          <w:right w:val="nil"/>
          <w:between w:val="nil"/>
        </w:pBdr>
        <w:shd w:val="clear" w:color="auto" w:fill="FFFFFF"/>
        <w:jc w:val="both"/>
        <w:rPr>
          <w:color w:val="000000"/>
          <w:lang w:val="en-US"/>
        </w:rPr>
      </w:pPr>
      <w:r w:rsidRPr="000A0C1C">
        <w:rPr>
          <w:color w:val="000000"/>
          <w:lang w:val="en-US"/>
        </w:rPr>
        <w:fldChar w:fldCharType="begin"/>
      </w:r>
      <w:r w:rsidRPr="000A0C1C">
        <w:rPr>
          <w:color w:val="000000"/>
          <w:lang w:val="en-US"/>
        </w:rPr>
        <w:instrText xml:space="preserve"> ADDIN ZOTERO_BIBL {"uncited":[],"omitted":[],"custom":[]} CSL_BIBLIOGRAPHY </w:instrText>
      </w:r>
      <w:r w:rsidRPr="000A0C1C">
        <w:rPr>
          <w:color w:val="000000"/>
          <w:lang w:val="en-US"/>
        </w:rPr>
        <w:fldChar w:fldCharType="separate"/>
      </w:r>
      <w:r w:rsidR="000A0C1C" w:rsidRPr="000A0C1C">
        <w:t xml:space="preserve">1. </w:t>
      </w:r>
      <w:r w:rsidR="006C7B84" w:rsidRPr="000A0C1C">
        <w:rPr>
          <w:color w:val="000000"/>
          <w:lang w:val="en-US"/>
        </w:rPr>
        <w:t>Lamentowicz M., Mitchell E. A. D. The Ecology of Testate Amoebae (Protists) in Sphagnum in North-</w:t>
      </w:r>
      <w:r w:rsidR="00CE2505">
        <w:rPr>
          <w:color w:val="000000"/>
          <w:lang w:val="en-US"/>
        </w:rPr>
        <w:t>W</w:t>
      </w:r>
      <w:r w:rsidR="006C7B84" w:rsidRPr="000A0C1C">
        <w:rPr>
          <w:color w:val="000000"/>
          <w:lang w:val="en-US"/>
        </w:rPr>
        <w:t xml:space="preserve">estern Poland in Relation to Peatland Ecology // Microbial Ecology. 2005. </w:t>
      </w:r>
      <w:r w:rsidR="006C7B84">
        <w:rPr>
          <w:color w:val="000000"/>
          <w:lang w:val="en-US"/>
        </w:rPr>
        <w:t>Vol. 50 (1).</w:t>
      </w:r>
      <w:r w:rsidR="006C7B84" w:rsidRPr="000A0C1C">
        <w:rPr>
          <w:color w:val="000000"/>
          <w:lang w:val="en-US"/>
        </w:rPr>
        <w:t xml:space="preserve"> </w:t>
      </w:r>
      <w:r w:rsidR="006C7B84">
        <w:rPr>
          <w:color w:val="000000"/>
          <w:lang w:val="en-US"/>
        </w:rPr>
        <w:t>P</w:t>
      </w:r>
      <w:r w:rsidR="006C7B84" w:rsidRPr="000A0C1C">
        <w:rPr>
          <w:color w:val="000000"/>
          <w:lang w:val="en-US"/>
        </w:rPr>
        <w:t>. 48–63.</w:t>
      </w:r>
    </w:p>
    <w:p w14:paraId="6916B146" w14:textId="753158B4" w:rsidR="006C7B84" w:rsidRPr="000A0C1C" w:rsidRDefault="006C7B84" w:rsidP="006C7B84">
      <w:pPr>
        <w:pBdr>
          <w:top w:val="nil"/>
          <w:left w:val="nil"/>
          <w:bottom w:val="nil"/>
          <w:right w:val="nil"/>
          <w:between w:val="nil"/>
        </w:pBdr>
        <w:shd w:val="clear" w:color="auto" w:fill="FFFFFF"/>
        <w:jc w:val="both"/>
        <w:rPr>
          <w:color w:val="000000"/>
          <w:lang w:val="en-US"/>
        </w:rPr>
      </w:pPr>
      <w:r>
        <w:rPr>
          <w:color w:val="000000"/>
          <w:lang w:val="en-US"/>
        </w:rPr>
        <w:t>2</w:t>
      </w:r>
      <w:r w:rsidRPr="000A0C1C">
        <w:rPr>
          <w:color w:val="000000"/>
          <w:lang w:val="en-US"/>
        </w:rPr>
        <w:t>. Wilkinson D., Mitchell E. Testate Amoebae and Nutrient Cycling with Particular Reference to Soils // Geomic</w:t>
      </w:r>
      <w:r>
        <w:rPr>
          <w:color w:val="000000"/>
          <w:lang w:val="en-US"/>
        </w:rPr>
        <w:t>robiology Journal. 2010. V. 27. P</w:t>
      </w:r>
      <w:r w:rsidRPr="000A0C1C">
        <w:rPr>
          <w:color w:val="000000"/>
          <w:lang w:val="en-US"/>
        </w:rPr>
        <w:t>. 520–533.</w:t>
      </w:r>
    </w:p>
    <w:p w14:paraId="02986659" w14:textId="3BC25C63" w:rsidR="000A0C1C" w:rsidRDefault="000A0C1C" w:rsidP="000A0C1C">
      <w:pPr>
        <w:pBdr>
          <w:top w:val="nil"/>
          <w:left w:val="nil"/>
          <w:bottom w:val="nil"/>
          <w:right w:val="nil"/>
          <w:between w:val="nil"/>
        </w:pBdr>
        <w:shd w:val="clear" w:color="auto" w:fill="FFFFFF"/>
        <w:jc w:val="both"/>
        <w:rPr>
          <w:color w:val="000000"/>
          <w:lang w:val="en-US"/>
        </w:rPr>
      </w:pPr>
      <w:r w:rsidRPr="000A0C1C">
        <w:rPr>
          <w:color w:val="000000"/>
          <w:lang w:val="en-US"/>
        </w:rPr>
        <w:t xml:space="preserve">3. Nakhutsrishvili G. </w:t>
      </w:r>
      <w:r w:rsidR="00CE2505">
        <w:rPr>
          <w:color w:val="000000"/>
          <w:lang w:val="en-US"/>
        </w:rPr>
        <w:t>et al</w:t>
      </w:r>
      <w:r w:rsidRPr="000A0C1C">
        <w:rPr>
          <w:color w:val="000000"/>
          <w:lang w:val="en-US"/>
        </w:rPr>
        <w:t xml:space="preserve">. Colchic and Hyrcanian forests of the Caucasus: Similarities, differences and conservation status // Flora Mediterranea. 2015. </w:t>
      </w:r>
      <w:r w:rsidR="006C7B84">
        <w:rPr>
          <w:color w:val="000000"/>
          <w:lang w:val="en-US"/>
        </w:rPr>
        <w:t xml:space="preserve">Vol. </w:t>
      </w:r>
      <w:r w:rsidRPr="000A0C1C">
        <w:rPr>
          <w:color w:val="000000"/>
          <w:lang w:val="en-US"/>
        </w:rPr>
        <w:t xml:space="preserve">25. </w:t>
      </w:r>
      <w:r w:rsidR="006C7B84">
        <w:rPr>
          <w:color w:val="000000"/>
          <w:lang w:val="en-US"/>
        </w:rPr>
        <w:t>P</w:t>
      </w:r>
      <w:r w:rsidRPr="000A0C1C">
        <w:rPr>
          <w:color w:val="000000"/>
          <w:lang w:val="en-US"/>
        </w:rPr>
        <w:t>. 185–192.</w:t>
      </w:r>
    </w:p>
    <w:p w14:paraId="3FB17C05" w14:textId="5459BD81" w:rsidR="00B648CB" w:rsidRPr="00116478" w:rsidRDefault="006C7B84" w:rsidP="00063966">
      <w:pPr>
        <w:pBdr>
          <w:top w:val="nil"/>
          <w:left w:val="nil"/>
          <w:bottom w:val="nil"/>
          <w:right w:val="nil"/>
          <w:between w:val="nil"/>
        </w:pBdr>
        <w:shd w:val="clear" w:color="auto" w:fill="FFFFFF"/>
        <w:jc w:val="both"/>
        <w:rPr>
          <w:color w:val="000000"/>
          <w:lang w:val="en-US"/>
        </w:rPr>
      </w:pPr>
      <w:r>
        <w:rPr>
          <w:color w:val="000000"/>
          <w:lang w:val="en-US"/>
        </w:rPr>
        <w:t xml:space="preserve">4. </w:t>
      </w:r>
      <w:r w:rsidRPr="000A0C1C">
        <w:rPr>
          <w:color w:val="000000"/>
          <w:lang w:val="en-US"/>
        </w:rPr>
        <w:t xml:space="preserve">Gering J. C., Crist T. O., Veech J. A. Additive Partitioning of Species Diversity across Multiple Spatial Scales: Implications for Regional Conservation of Biodiversity // Conservation Biology. 2003. </w:t>
      </w:r>
      <w:r>
        <w:rPr>
          <w:color w:val="000000"/>
          <w:lang w:val="en-US"/>
        </w:rPr>
        <w:t>Vol.</w:t>
      </w:r>
      <w:r w:rsidRPr="000A0C1C">
        <w:rPr>
          <w:color w:val="000000"/>
          <w:lang w:val="en-US"/>
        </w:rPr>
        <w:t xml:space="preserve"> 17</w:t>
      </w:r>
      <w:r>
        <w:rPr>
          <w:color w:val="000000"/>
          <w:lang w:val="en-US"/>
        </w:rPr>
        <w:t xml:space="preserve"> (2</w:t>
      </w:r>
      <w:r w:rsidRPr="000A0C1C">
        <w:rPr>
          <w:color w:val="000000"/>
          <w:lang w:val="en-US"/>
        </w:rPr>
        <w:t xml:space="preserve">). </w:t>
      </w:r>
      <w:r>
        <w:rPr>
          <w:color w:val="000000"/>
          <w:lang w:val="en-US"/>
        </w:rPr>
        <w:t>P</w:t>
      </w:r>
      <w:r w:rsidRPr="000A0C1C">
        <w:rPr>
          <w:color w:val="000000"/>
          <w:lang w:val="en-US"/>
        </w:rPr>
        <w:t>. 488–499.</w:t>
      </w:r>
      <w:r w:rsidR="003563C8" w:rsidRPr="000A0C1C">
        <w:rPr>
          <w:color w:val="000000"/>
          <w:lang w:val="en-US"/>
        </w:rPr>
        <w:fldChar w:fldCharType="end"/>
      </w:r>
    </w:p>
    <w:sectPr w:rsidR="00B648CB" w:rsidRPr="00116478">
      <w:pgSz w:w="11906" w:h="16838"/>
      <w:pgMar w:top="1134" w:right="1361" w:bottom="1134"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0D9D" w14:textId="77777777" w:rsidR="005C6837" w:rsidRDefault="005C6837" w:rsidP="00F4633F">
      <w:r>
        <w:separator/>
      </w:r>
    </w:p>
  </w:endnote>
  <w:endnote w:type="continuationSeparator" w:id="0">
    <w:p w14:paraId="0B08634D" w14:textId="77777777" w:rsidR="005C6837" w:rsidRDefault="005C6837" w:rsidP="00F4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3754" w14:textId="77777777" w:rsidR="005C6837" w:rsidRDefault="005C6837" w:rsidP="00F4633F">
      <w:r>
        <w:separator/>
      </w:r>
    </w:p>
  </w:footnote>
  <w:footnote w:type="continuationSeparator" w:id="0">
    <w:p w14:paraId="207BA8BD" w14:textId="77777777" w:rsidR="005C6837" w:rsidRDefault="005C6837" w:rsidP="00F46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76435602">
    <w:abstractNumId w:val="0"/>
  </w:num>
  <w:num w:numId="2" w16cid:durableId="495995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63966"/>
    <w:rsid w:val="00086081"/>
    <w:rsid w:val="000A0C1C"/>
    <w:rsid w:val="00101A1C"/>
    <w:rsid w:val="00106375"/>
    <w:rsid w:val="00116478"/>
    <w:rsid w:val="00130241"/>
    <w:rsid w:val="00155044"/>
    <w:rsid w:val="001E61C2"/>
    <w:rsid w:val="001F0493"/>
    <w:rsid w:val="002264EE"/>
    <w:rsid w:val="0023307C"/>
    <w:rsid w:val="003563C8"/>
    <w:rsid w:val="00391C38"/>
    <w:rsid w:val="003A78C5"/>
    <w:rsid w:val="003B76D6"/>
    <w:rsid w:val="004A26A3"/>
    <w:rsid w:val="004F0EDF"/>
    <w:rsid w:val="00522BF1"/>
    <w:rsid w:val="00590166"/>
    <w:rsid w:val="005C6837"/>
    <w:rsid w:val="006C7B84"/>
    <w:rsid w:val="006F7A19"/>
    <w:rsid w:val="00775389"/>
    <w:rsid w:val="00797838"/>
    <w:rsid w:val="007C36D8"/>
    <w:rsid w:val="007D2FF8"/>
    <w:rsid w:val="007F2744"/>
    <w:rsid w:val="008931BE"/>
    <w:rsid w:val="00921D45"/>
    <w:rsid w:val="009A66DB"/>
    <w:rsid w:val="009B2F80"/>
    <w:rsid w:val="009F3380"/>
    <w:rsid w:val="00A02163"/>
    <w:rsid w:val="00A07E5F"/>
    <w:rsid w:val="00A16214"/>
    <w:rsid w:val="00A314FE"/>
    <w:rsid w:val="00A53797"/>
    <w:rsid w:val="00B648CB"/>
    <w:rsid w:val="00BF36F8"/>
    <w:rsid w:val="00BF4622"/>
    <w:rsid w:val="00C24F65"/>
    <w:rsid w:val="00C676F4"/>
    <w:rsid w:val="00C75B43"/>
    <w:rsid w:val="00C82DF8"/>
    <w:rsid w:val="00CE2505"/>
    <w:rsid w:val="00D1473A"/>
    <w:rsid w:val="00D42542"/>
    <w:rsid w:val="00D570BA"/>
    <w:rsid w:val="00D8121C"/>
    <w:rsid w:val="00E22189"/>
    <w:rsid w:val="00E52920"/>
    <w:rsid w:val="00EB1F49"/>
    <w:rsid w:val="00F4633F"/>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列表段落 字符"/>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未处理的提及1"/>
    <w:basedOn w:val="a0"/>
    <w:uiPriority w:val="99"/>
    <w:semiHidden/>
    <w:unhideWhenUsed/>
    <w:rsid w:val="00F865B3"/>
    <w:rPr>
      <w:color w:val="605E5C"/>
      <w:shd w:val="clear" w:color="auto" w:fill="E1DFDD"/>
    </w:rPr>
  </w:style>
  <w:style w:type="paragraph" w:styleId="aa">
    <w:name w:val="Bibliography"/>
    <w:basedOn w:val="a"/>
    <w:next w:val="a"/>
    <w:uiPriority w:val="37"/>
    <w:unhideWhenUsed/>
    <w:rsid w:val="003563C8"/>
    <w:pPr>
      <w:spacing w:after="240"/>
    </w:pPr>
  </w:style>
  <w:style w:type="paragraph" w:styleId="ab">
    <w:name w:val="Balloon Text"/>
    <w:basedOn w:val="a"/>
    <w:link w:val="ac"/>
    <w:uiPriority w:val="99"/>
    <w:semiHidden/>
    <w:unhideWhenUsed/>
    <w:rsid w:val="006C7B84"/>
    <w:rPr>
      <w:rFonts w:ascii="Segoe UI" w:hAnsi="Segoe UI" w:cs="Segoe UI"/>
      <w:sz w:val="18"/>
      <w:szCs w:val="18"/>
    </w:rPr>
  </w:style>
  <w:style w:type="character" w:customStyle="1" w:styleId="ac">
    <w:name w:val="批注框文本 字符"/>
    <w:basedOn w:val="a0"/>
    <w:link w:val="ab"/>
    <w:uiPriority w:val="99"/>
    <w:semiHidden/>
    <w:rsid w:val="006C7B84"/>
    <w:rPr>
      <w:rFonts w:ascii="Segoe UI" w:eastAsia="Times New Roman" w:hAnsi="Segoe UI" w:cs="Segoe UI"/>
      <w:sz w:val="18"/>
      <w:szCs w:val="18"/>
    </w:rPr>
  </w:style>
  <w:style w:type="paragraph" w:styleId="ad">
    <w:name w:val="Revision"/>
    <w:hidden/>
    <w:uiPriority w:val="99"/>
    <w:semiHidden/>
    <w:rsid w:val="00F4633F"/>
    <w:rPr>
      <w:rFonts w:ascii="Times New Roman" w:eastAsia="Times New Roman" w:hAnsi="Times New Roman" w:cs="Times New Roman"/>
      <w:sz w:val="24"/>
      <w:szCs w:val="24"/>
    </w:rPr>
  </w:style>
  <w:style w:type="paragraph" w:styleId="ae">
    <w:name w:val="header"/>
    <w:basedOn w:val="a"/>
    <w:link w:val="af"/>
    <w:uiPriority w:val="99"/>
    <w:unhideWhenUsed/>
    <w:rsid w:val="00F4633F"/>
    <w:pPr>
      <w:tabs>
        <w:tab w:val="center" w:pos="4153"/>
        <w:tab w:val="right" w:pos="8306"/>
      </w:tabs>
      <w:snapToGrid w:val="0"/>
      <w:jc w:val="center"/>
    </w:pPr>
    <w:rPr>
      <w:sz w:val="18"/>
      <w:szCs w:val="18"/>
    </w:rPr>
  </w:style>
  <w:style w:type="character" w:customStyle="1" w:styleId="af">
    <w:name w:val="页眉 字符"/>
    <w:basedOn w:val="a0"/>
    <w:link w:val="ae"/>
    <w:uiPriority w:val="99"/>
    <w:rsid w:val="00F4633F"/>
    <w:rPr>
      <w:rFonts w:ascii="Times New Roman" w:eastAsia="Times New Roman" w:hAnsi="Times New Roman" w:cs="Times New Roman"/>
      <w:sz w:val="18"/>
      <w:szCs w:val="18"/>
    </w:rPr>
  </w:style>
  <w:style w:type="paragraph" w:styleId="af0">
    <w:name w:val="footer"/>
    <w:basedOn w:val="a"/>
    <w:link w:val="af1"/>
    <w:uiPriority w:val="99"/>
    <w:unhideWhenUsed/>
    <w:rsid w:val="00F4633F"/>
    <w:pPr>
      <w:tabs>
        <w:tab w:val="center" w:pos="4153"/>
        <w:tab w:val="right" w:pos="8306"/>
      </w:tabs>
      <w:snapToGrid w:val="0"/>
    </w:pPr>
    <w:rPr>
      <w:sz w:val="18"/>
      <w:szCs w:val="18"/>
    </w:rPr>
  </w:style>
  <w:style w:type="character" w:customStyle="1" w:styleId="af1">
    <w:name w:val="页脚 字符"/>
    <w:basedOn w:val="a0"/>
    <w:link w:val="af0"/>
    <w:uiPriority w:val="99"/>
    <w:rsid w:val="00F4633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936449278">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nov@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9640-41AA-4492-8DE9-83D24E35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1864</Words>
  <Characters>10626</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Lomonosov MSU</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wen13501010338@163.com</cp:lastModifiedBy>
  <cp:revision>3</cp:revision>
  <dcterms:created xsi:type="dcterms:W3CDTF">2023-03-17T11:00:00Z</dcterms:created>
  <dcterms:modified xsi:type="dcterms:W3CDTF">2023-03-17T11:03:00Z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y fmtid="{D5CDD505-2E9C-101B-9397-08002B2CF9AE}" pid="25" name="ZOTERO_PREF_1">
    <vt:lpwstr>&lt;data data-version="3" zotero-version="6.0.23"&gt;&lt;session id="MAP6cA7j"/&gt;&lt;style id="http://www.zotero.org/styles/gost-r-7-0-5-2008-numeric-alphabetical" hasBibliography="1" bibliographyStyleHasBeenSet="1"/&gt;&lt;prefs&gt;&lt;pref name="fieldType" value="Field"/&gt;&lt;/pref</vt:lpwstr>
  </property>
  <property fmtid="{D5CDD505-2E9C-101B-9397-08002B2CF9AE}" pid="26" name="ZOTERO_PREF_2">
    <vt:lpwstr>s&gt;&lt;/data&gt;</vt:lpwstr>
  </property>
</Properties>
</file>