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4" w:rsidRPr="00A96AFB" w:rsidRDefault="00DC7FB4" w:rsidP="00DC7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B4">
        <w:rPr>
          <w:rFonts w:ascii="Times New Roman" w:hAnsi="Times New Roman" w:cs="Times New Roman"/>
          <w:b/>
          <w:sz w:val="24"/>
          <w:szCs w:val="24"/>
        </w:rPr>
        <w:t xml:space="preserve">Этап адаптации </w:t>
      </w:r>
      <w:proofErr w:type="spellStart"/>
      <w:r w:rsidRPr="00DC7FB4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C7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FB4">
        <w:rPr>
          <w:rFonts w:ascii="Times New Roman" w:hAnsi="Times New Roman" w:cs="Times New Roman"/>
          <w:b/>
          <w:sz w:val="24"/>
          <w:szCs w:val="24"/>
        </w:rPr>
        <w:t>vitro</w:t>
      </w:r>
      <w:proofErr w:type="spellEnd"/>
      <w:r w:rsidRPr="00DC7FB4">
        <w:rPr>
          <w:rFonts w:ascii="Times New Roman" w:hAnsi="Times New Roman" w:cs="Times New Roman"/>
          <w:b/>
          <w:sz w:val="24"/>
          <w:szCs w:val="24"/>
        </w:rPr>
        <w:t xml:space="preserve"> растен</w:t>
      </w:r>
      <w:r>
        <w:rPr>
          <w:rFonts w:ascii="Times New Roman" w:hAnsi="Times New Roman" w:cs="Times New Roman"/>
          <w:b/>
          <w:sz w:val="24"/>
          <w:szCs w:val="24"/>
        </w:rPr>
        <w:t>ий малины к нестерильным услови</w:t>
      </w:r>
      <w:r w:rsidRPr="00DC7FB4">
        <w:rPr>
          <w:rFonts w:ascii="Times New Roman" w:hAnsi="Times New Roman" w:cs="Times New Roman"/>
          <w:b/>
          <w:sz w:val="24"/>
          <w:szCs w:val="24"/>
        </w:rPr>
        <w:t>ям</w:t>
      </w:r>
    </w:p>
    <w:p w:rsidR="00DC7FB4" w:rsidRPr="00A96AFB" w:rsidRDefault="00DC7FB4" w:rsidP="00DC7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6AFB">
        <w:rPr>
          <w:rFonts w:ascii="Times New Roman" w:hAnsi="Times New Roman" w:cs="Times New Roman"/>
          <w:i/>
          <w:sz w:val="24"/>
          <w:szCs w:val="24"/>
        </w:rPr>
        <w:t>К.С. Суслова</w:t>
      </w:r>
    </w:p>
    <w:p w:rsidR="00DC7FB4" w:rsidRPr="00CC51A5" w:rsidRDefault="00DC7FB4" w:rsidP="00DC7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C51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Алтайский ГАУ, агрономический факультет, Барнаул, Россия</w:t>
      </w:r>
    </w:p>
    <w:p w:rsidR="00DC7FB4" w:rsidRPr="00CC51A5" w:rsidRDefault="00DC7FB4" w:rsidP="00DC7FB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C51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E–mail: kristina.suslova.95@mail.ru</w:t>
      </w:r>
    </w:p>
    <w:p w:rsidR="00DC7FB4" w:rsidRPr="00DC7FB4" w:rsidRDefault="00DC7FB4" w:rsidP="00DC7F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>Плодовые и ягодные культуры имеют важное хозяйственное и экономическое значение. Они служат основным источником биологически активных веществ. Один из резервов повышения производства плодов и ягод – использование для закладки плантаций оздоровленного высококачественного посадочного материала, выращенного с использованием современных биотехнологических методов [1].</w:t>
      </w:r>
    </w:p>
    <w:p w:rsidR="00DC7FB4" w:rsidRPr="00DC7FB4" w:rsidRDefault="00DC7FB4" w:rsidP="00DC7F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Для усовершенствования технологии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клонального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микроразмножения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необходимо тщательно проводить исследования по подбору оптимальных условий выращивания на всех этапах. Особо следует уделить внимание этапу адаптации клонированных растений к условиям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>, на котором нередко можно наблюдать 100%-ю гибель растений-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регенерантов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[2]. Поэтому подбор эффективных технологий, позволяющих решить существующие проблемы адаптации растений, является актуальным направлением исследований в области биотехнологии растений.</w:t>
      </w:r>
    </w:p>
    <w:p w:rsidR="00DC7FB4" w:rsidRPr="00DC7FB4" w:rsidRDefault="00DC7FB4" w:rsidP="00DC7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Цель наших исследований заключалась в оптимизации приемов культивирования перспективных сортов малины </w:t>
      </w:r>
      <w:r w:rsidRPr="00DC7FB4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FB4">
        <w:rPr>
          <w:rFonts w:ascii="Times New Roman" w:eastAsia="Calibri" w:hAnsi="Times New Roman" w:cs="Times New Roman"/>
          <w:sz w:val="24"/>
          <w:szCs w:val="24"/>
          <w:lang w:val="en-US"/>
        </w:rPr>
        <w:t>vitro</w:t>
      </w: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на этапе адаптации к нестерильным условиям.</w:t>
      </w:r>
    </w:p>
    <w:p w:rsidR="00DC7FB4" w:rsidRPr="00DC7FB4" w:rsidRDefault="00DC7FB4" w:rsidP="00DC7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В лаборатории микроклонального размножения ФГБОУ ВО Алтайского ГАУ изучали приемы культивирования растений малины </w:t>
      </w:r>
      <w:r w:rsidRPr="00DC7FB4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FB4">
        <w:rPr>
          <w:rFonts w:ascii="Times New Roman" w:eastAsia="Calibri" w:hAnsi="Times New Roman" w:cs="Times New Roman"/>
          <w:sz w:val="24"/>
          <w:szCs w:val="24"/>
          <w:lang w:val="en-US"/>
        </w:rPr>
        <w:t>vitro</w:t>
      </w: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на этапе адаптации к </w:t>
      </w:r>
      <w:r w:rsidRPr="00DC7FB4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FB4">
        <w:rPr>
          <w:rFonts w:ascii="Times New Roman" w:eastAsia="Calibri" w:hAnsi="Times New Roman" w:cs="Times New Roman"/>
          <w:sz w:val="24"/>
          <w:szCs w:val="24"/>
          <w:lang w:val="en-US"/>
        </w:rPr>
        <w:t>vitro</w:t>
      </w: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C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в открытом грунте проводили в условиях умеренно засушливой </w:t>
      </w:r>
      <w:proofErr w:type="spellStart"/>
      <w:r w:rsidRPr="00DC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колочной</w:t>
      </w:r>
      <w:proofErr w:type="spellEnd"/>
      <w:r w:rsidRPr="00DC7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степи Алтайского края. Климат зоны характеризуется, как резко континентальный с продолжительной зимой, коротким и жарким летом, резкими колебаниями температуры и сильной изменчивостью погоды по годам.</w:t>
      </w:r>
    </w:p>
    <w:p w:rsidR="00DC7FB4" w:rsidRPr="00DC7FB4" w:rsidRDefault="00DC7FB4" w:rsidP="00DC7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Объектами исследования служили сорта малины Геракл, Оранжевое чудо, Атлант, Золотая осень, Барнаульская. Для адаптации использовали размноженные растения на питательной среде, содержащей минеральные соли по прописи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Мурасиге-Скуга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(МС), 6-бензиламинопурин (6-БАП) – 1 мг/л, индолилуксусную кислоту (ИУК) – 0,5 мг/л, а также сахарозу – 3% и агар-агар – 0,8%. </w:t>
      </w:r>
    </w:p>
    <w:p w:rsidR="00DC7FB4" w:rsidRPr="00DC7FB4" w:rsidRDefault="00DC7FB4" w:rsidP="00DC7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В ходе исследований применяли адаптацию клоновых растений к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в условиях теплицы, с последующим переносом растений в открытый грунт. </w:t>
      </w:r>
    </w:p>
    <w:p w:rsidR="00DC7FB4" w:rsidRPr="00DC7FB4" w:rsidRDefault="00DC7FB4" w:rsidP="00DC7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Схема эксперимента приведена на рисунках 1 - 2. Приживаемость и успешное развитие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микрорастений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при адаптации зависят от комплекса таких факторов, как тип субстрата, освещенность, температура и влажность воздуха, инфекционная нагрузка и др. [2, 3, 4]. На первом этапе адаптации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микроклоны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переносили в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минипарнички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, накрытые прозрачными колпаками, заполненные универсальным грунтом. В состав грунта входили: верховой торф, низинный торф, песок, известняковая (доломитовая) мука в соотношении 1:1:1:1, комплексное минеральное удобрение с микроэлементами и макроэлементами (азот – 350 мг/кг, фосфор – 400 мг/ кг, калий – 500 мг/кг),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– 6,5 [3,4].</w:t>
      </w:r>
    </w:p>
    <w:p w:rsidR="00DC7FB4" w:rsidRPr="00DC7FB4" w:rsidRDefault="00DC7FB4" w:rsidP="00DC7F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Повторность опыта трехкратная, по 10 растений в каждой повторности. Перенос пробирочных растений в нестерильные условия проводили в начале апреля. В ряде литературных источников указано, что после пересадки растений в почву, отмечена остановка в росте, опадание листьев и гибель растений. Эти явления связаны, напрямую с тем, что у пробирочных растений нарушена деятельность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устьичного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аппарата, в следствие чего происходит потеря большого количества воды [4,5]. Поэтому, в условиях теплицы для адаптации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микрорастениям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в течение 2 недель обеспечивали высокую влажность (80-90 %). При этом постепенно увеличивали продолжительность ежедневного кратковременного проветривания, температуру поддерживали в интервале 20- 25 °С. Учет роста и развития растений проводили 4 раза с интервалом в 14 дней, при этом определяли такие параметры, как приживаемость, суммарная и средняя длина побегов, среднее число побегов и площадь листовой поверхности. У размноженных и высаженных в нестерильный субстрат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микрорастений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, при сравнении с пробирочными сеянцами, в первую очередь наблюдалась </w:t>
      </w:r>
      <w:r w:rsidRPr="00DC7F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остановка ростовых процессов в первые 2-3 недели опыта, в этот период анализируемые растения испытывают стресс после высадки. Как правило, в этот момент происходит наибольший выпад материала. В условиях опыта, отмечен высокий коэффициент приживаемость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микрорастений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минипарничках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. У сорта Барнаульская составил 100%, в то время, как у сорта Золотая осень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адаптируемость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была на уровне 80%. Затем, в первой декаде июня, окрепшие растения перенесли в условия открытого грунта. </w:t>
      </w:r>
    </w:p>
    <w:p w:rsidR="00DC7FB4" w:rsidRPr="00DC7FB4" w:rsidRDefault="00DC7FB4" w:rsidP="00D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DC7FB4" w:rsidRPr="00DC7FB4" w:rsidTr="00B4337E">
        <w:tc>
          <w:tcPr>
            <w:tcW w:w="4814" w:type="dxa"/>
            <w:shd w:val="clear" w:color="auto" w:fill="auto"/>
          </w:tcPr>
          <w:p w:rsidR="00DC7FB4" w:rsidRPr="00DC7FB4" w:rsidRDefault="00DC7FB4" w:rsidP="00DC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F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724025"/>
                  <wp:effectExtent l="0" t="0" r="9525" b="9525"/>
                  <wp:docPr id="4" name="Рисунок 4" descr="https://sun9-west.userapi.com/sun9-70/s/v1/ig2/fTiv5XhRxaXQQWq3tXRZD2opilwWHLyPC-Ue2lw5FfUhr3kO0M1qzrFjR3xuZYPR-RS1OJNZgcO_A_1_lExhIwM_.jpg?size=810x108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un9-west.userapi.com/sun9-70/s/v1/ig2/fTiv5XhRxaXQQWq3tXRZD2opilwWHLyPC-Ue2lw5FfUhr3kO0M1qzrFjR3xuZYPR-RS1OJNZgcO_A_1_lExhIwM_.jpg?size=810x108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shd w:val="clear" w:color="auto" w:fill="auto"/>
          </w:tcPr>
          <w:p w:rsidR="00DC7FB4" w:rsidRPr="00DC7FB4" w:rsidRDefault="00DC7FB4" w:rsidP="00DC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F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724025"/>
                  <wp:effectExtent l="0" t="0" r="9525" b="9525"/>
                  <wp:docPr id="3" name="Рисунок 3" descr="https://sun9-west.userapi.com/sun9-16/s/v1/ig2/8CtFpCv2RHdERagiJNt4u7nnUG6Sd45kPvS3MvTd6R5ddkChp3EwpLWjYjfmso66BpEtWVf-M2s-4T9PvISaW6xA.jpg?size=810x108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un9-west.userapi.com/sun9-16/s/v1/ig2/8CtFpCv2RHdERagiJNt4u7nnUG6Sd45kPvS3MvTd6R5ddkChp3EwpLWjYjfmso66BpEtWVf-M2s-4T9PvISaW6xA.jpg?size=810x108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FB4" w:rsidRPr="00DC7FB4" w:rsidTr="00B4337E">
        <w:tc>
          <w:tcPr>
            <w:tcW w:w="4814" w:type="dxa"/>
            <w:shd w:val="clear" w:color="auto" w:fill="auto"/>
          </w:tcPr>
          <w:p w:rsidR="00DC7FB4" w:rsidRPr="00DC7FB4" w:rsidRDefault="00DC7FB4" w:rsidP="00DC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1 – Адаптация растений в условиях теплицы </w:t>
            </w:r>
          </w:p>
        </w:tc>
        <w:tc>
          <w:tcPr>
            <w:tcW w:w="4814" w:type="dxa"/>
            <w:shd w:val="clear" w:color="auto" w:fill="auto"/>
          </w:tcPr>
          <w:p w:rsidR="00DC7FB4" w:rsidRPr="00DC7FB4" w:rsidRDefault="00DC7FB4" w:rsidP="00DC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2- Адаптация </w:t>
            </w:r>
            <w:proofErr w:type="spellStart"/>
            <w:r w:rsidRPr="00DC7FB4">
              <w:rPr>
                <w:rFonts w:ascii="Times New Roman" w:eastAsia="Calibri" w:hAnsi="Times New Roman" w:cs="Times New Roman"/>
                <w:sz w:val="24"/>
                <w:szCs w:val="24"/>
              </w:rPr>
              <w:t>микрорастений</w:t>
            </w:r>
            <w:proofErr w:type="spellEnd"/>
            <w:r w:rsidRPr="00DC7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открытого грунта</w:t>
            </w:r>
          </w:p>
        </w:tc>
      </w:tr>
    </w:tbl>
    <w:p w:rsidR="00DC7FB4" w:rsidRPr="00DC7FB4" w:rsidRDefault="00DC7FB4" w:rsidP="00DC7F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После появления у адаптируемых растений первых листьев скорость роста постепенно увеличивается, отмечено появление новых листьев. Выпады на этом этапе уже не значительны. По анализу данных ростовых показателей у изучаемых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микроклонов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малины к нестерильным условиям, можно сделать вывод, что скорость роста побегов заметно усиливается у растений спустя 30 дней после пересадки.</w:t>
      </w:r>
    </w:p>
    <w:p w:rsidR="00DC7FB4" w:rsidRPr="00DC7FB4" w:rsidRDefault="00DC7FB4" w:rsidP="00DC7F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 позволяют повысить практическую значимость используемых биотехнологических приемов в системе производства посадочного материала ягодных культур. На основании проведенных исследований, можно сделать вывод, что на последнем этапе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клонального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микроразмножения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для малины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целесообразно применять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минипарнички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>, которые позволяют получать высококачественный оздоровленный посадочный материал.</w:t>
      </w:r>
    </w:p>
    <w:p w:rsidR="00DC7FB4" w:rsidRPr="00DC7FB4" w:rsidRDefault="00DC7FB4" w:rsidP="00DC7F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B4" w:rsidRPr="00DC7FB4" w:rsidRDefault="00DC7FB4" w:rsidP="00DC7FB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DC7FB4" w:rsidRPr="00DC7FB4" w:rsidRDefault="00DC7FB4" w:rsidP="00DC7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Акимова С.В. Эффективность применения модификаций препарата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Суперстим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в малых дозах на этапе индукции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ризогенеза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растений рода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Rubus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L. с учетом последействия на этапе адаптации / С.В. Акимова, О.Н.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Аладина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, В.В.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Киркач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, А.Н.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Викулина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, А.П.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Глинушкин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// Достижения науки и техники АПК. 2017. Т. 31. № 2. С. 39-44.</w:t>
      </w:r>
    </w:p>
    <w:p w:rsidR="00DC7FB4" w:rsidRPr="00DC7FB4" w:rsidRDefault="00DC7FB4" w:rsidP="00DC7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Деменко В.И., Лебедев В.Г.,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Шестибратов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К.А. Адаптация растений, полученных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, к нестерильным условиям // Известия ТСХА. 2010.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>. 1. С. 73–85.</w:t>
      </w:r>
    </w:p>
    <w:p w:rsidR="00DC7FB4" w:rsidRPr="00DC7FB4" w:rsidRDefault="00DC7FB4" w:rsidP="00DC7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Сковородников Д.Н., Райков И.А.,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Челяев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Д.Н. Адаптация полученных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растений малины к нестерильным условиям// Вестник Орловского государственного аграрного университета. 2012. Т. 35. № 2. С. 70–72. </w:t>
      </w:r>
    </w:p>
    <w:p w:rsidR="00DC7FB4" w:rsidRPr="00DC7FB4" w:rsidRDefault="00DC7FB4" w:rsidP="00DC7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Шорников Д.Г., Янковская М.Б., Муратова С.А. Укоренение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 и адаптация нетрадиционных садовых культур // VIII Международная научно-методическая конференция «Интродукция нетрадиционных и редких растений». Воронеж: Кварта. 2008. Т. 1. С. 335–337. 20</w:t>
      </w:r>
    </w:p>
    <w:p w:rsidR="00DC7FB4" w:rsidRPr="00DC7FB4" w:rsidRDefault="00DC7FB4" w:rsidP="00DC7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B4">
        <w:rPr>
          <w:rFonts w:ascii="Times New Roman" w:eastAsia="Calibri" w:hAnsi="Times New Roman" w:cs="Times New Roman"/>
          <w:sz w:val="24"/>
          <w:szCs w:val="24"/>
        </w:rPr>
        <w:t xml:space="preserve">Казаков И.В. Ягодные культуры в Центральном регионе России / И. В. Казаков, С. Д. </w:t>
      </w:r>
      <w:proofErr w:type="spellStart"/>
      <w:r w:rsidRPr="00DC7FB4">
        <w:rPr>
          <w:rFonts w:ascii="Times New Roman" w:eastAsia="Calibri" w:hAnsi="Times New Roman" w:cs="Times New Roman"/>
          <w:sz w:val="24"/>
          <w:szCs w:val="24"/>
        </w:rPr>
        <w:t>Айтджанов</w:t>
      </w:r>
      <w:proofErr w:type="spellEnd"/>
      <w:r w:rsidRPr="00DC7FB4">
        <w:rPr>
          <w:rFonts w:ascii="Times New Roman" w:eastAsia="Calibri" w:hAnsi="Times New Roman" w:cs="Times New Roman"/>
          <w:sz w:val="24"/>
          <w:szCs w:val="24"/>
        </w:rPr>
        <w:t>, С. Н. Евдокименко и др. М.: ФГБНУ ВСТИСП, 2016. 233 с.</w:t>
      </w:r>
    </w:p>
    <w:p w:rsidR="00BA1290" w:rsidRPr="00DC7FB4" w:rsidRDefault="00BA1290">
      <w:pPr>
        <w:rPr>
          <w:lang w:val="en-US"/>
        </w:rPr>
      </w:pPr>
      <w:bookmarkStart w:id="0" w:name="_GoBack"/>
      <w:bookmarkEnd w:id="0"/>
    </w:p>
    <w:sectPr w:rsidR="00BA1290" w:rsidRPr="00D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E93"/>
    <w:multiLevelType w:val="hybridMultilevel"/>
    <w:tmpl w:val="C938FE1A"/>
    <w:lvl w:ilvl="0" w:tplc="6D247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56"/>
    <w:rsid w:val="00BA1290"/>
    <w:rsid w:val="00D00A56"/>
    <w:rsid w:val="00D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AB48"/>
  <w15:chartTrackingRefBased/>
  <w15:docId w15:val="{40AAF995-C287-47FA-AE79-14DE8818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2023-04-06T17:54:00Z</dcterms:created>
  <dcterms:modified xsi:type="dcterms:W3CDTF">2023-04-06T17:56:00Z</dcterms:modified>
</cp:coreProperties>
</file>