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5F" w:rsidRPr="0057625F" w:rsidRDefault="0057625F" w:rsidP="0057625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7625F">
        <w:rPr>
          <w:rFonts w:ascii="Times New Roman" w:eastAsia="Calibri" w:hAnsi="Times New Roman" w:cs="Times New Roman"/>
          <w:sz w:val="24"/>
          <w:szCs w:val="24"/>
        </w:rPr>
        <w:t>ПЛЕНОЧНЫЕ ФОТОЭЛЕКТРИЧЕСКИЕ ПАНЕЛИ</w:t>
      </w:r>
    </w:p>
    <w:p w:rsidR="0057625F" w:rsidRPr="0057625F" w:rsidRDefault="0057625F" w:rsidP="0057625F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7625F" w:rsidRPr="0057625F" w:rsidRDefault="0057625F" w:rsidP="00576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Кузнецов Максим Александрович, магистрант кафедры «Химическая техника и инженерная экология», e-mail: makson536@mail.ru</w:t>
      </w:r>
    </w:p>
    <w:p w:rsidR="0057625F" w:rsidRPr="0057625F" w:rsidRDefault="0057625F" w:rsidP="00576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Научный руководитель – Сеселкин Игорь Владимирович, к.т.н., доцент,</w:t>
      </w:r>
    </w:p>
    <w:p w:rsidR="0057625F" w:rsidRPr="0057625F" w:rsidRDefault="0057625F" w:rsidP="00576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e-mail: ivseselkin@mail.ru</w:t>
      </w:r>
    </w:p>
    <w:p w:rsidR="003B02B0" w:rsidRDefault="0057625F" w:rsidP="00576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Алтайский государственный технический университет им. И.И.</w:t>
      </w:r>
      <w:r w:rsidR="0042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Ползунова, </w:t>
      </w:r>
    </w:p>
    <w:p w:rsidR="0057625F" w:rsidRPr="0057625F" w:rsidRDefault="0057625F" w:rsidP="00576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42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Барнаул, Россия</w:t>
      </w:r>
    </w:p>
    <w:p w:rsidR="0057625F" w:rsidRPr="0057625F" w:rsidRDefault="0057625F" w:rsidP="00576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7625F" w:rsidRPr="0057625F" w:rsidRDefault="0057625F" w:rsidP="00576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57625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Работа посвящена одной из наиболее актуальных тем современности – солнечной энергетике. Автором рассматриваются вопросы, связанные с преимуществами и недостатками тонкопленочных фотоэлектрических панелей. Выполнен обзор </w:t>
      </w:r>
      <w:r w:rsidR="007E0332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выпускаемых в настоящее время </w:t>
      </w:r>
      <w:r w:rsidRPr="0057625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тонкопленочных панелей</w:t>
      </w:r>
      <w:r w:rsidR="009B542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и их эффективность</w:t>
      </w:r>
      <w:r w:rsidRPr="0057625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. </w:t>
      </w:r>
      <w:r w:rsidR="009B542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А также  работе затрагивается тема развития тонкопле</w:t>
      </w:r>
      <w:r w:rsidR="0042016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ночных фотоэлектрических панелей</w:t>
      </w:r>
      <w:r w:rsidR="009B5427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>.</w:t>
      </w:r>
    </w:p>
    <w:p w:rsidR="0057625F" w:rsidRPr="0057625F" w:rsidRDefault="0057625F" w:rsidP="00576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</w:pPr>
      <w:r w:rsidRPr="0057625F">
        <w:rPr>
          <w:rFonts w:ascii="Times New Roman" w:eastAsia="Times New Roman" w:hAnsi="Times New Roman" w:cs="Times New Roman"/>
          <w:b/>
          <w:i/>
          <w:color w:val="000000"/>
          <w:sz w:val="20"/>
          <w:szCs w:val="24"/>
          <w:lang w:eastAsia="ru-RU"/>
        </w:rPr>
        <w:t>Ключевые слова:</w:t>
      </w:r>
      <w:r w:rsidRPr="0057625F">
        <w:rPr>
          <w:rFonts w:ascii="Times New Roman" w:eastAsia="Times New Roman" w:hAnsi="Times New Roman" w:cs="Times New Roman"/>
          <w:i/>
          <w:color w:val="000000"/>
          <w:sz w:val="20"/>
          <w:szCs w:val="24"/>
          <w:lang w:eastAsia="ru-RU"/>
        </w:rPr>
        <w:t xml:space="preserve"> солнечная энергетика, тонкоплёночные панели, фотовольтаика, тонкопленочная солнечная энергетика.</w:t>
      </w:r>
    </w:p>
    <w:p w:rsidR="0057625F" w:rsidRPr="0057625F" w:rsidRDefault="0057625F" w:rsidP="00576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877A6" w:rsidRDefault="00BB59E3" w:rsidP="00576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Фотоэлектрические устройства основаны на явлении фотоэффекта, когда электроны вырываются из одного органического полупроводника (стержня) под воздействием квантов света и переходят в другой (акцептор).</w:t>
      </w:r>
      <w:r w:rsidR="0057625F"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электроны исчезают, остается положительный заряд - "дыра", и когда такой фотоэлемент помещается в электрическую цепь, электроны движутся к положительному электроду, а ток течет к отрицательному электроду.</w:t>
      </w:r>
    </w:p>
    <w:p w:rsidR="007877A6" w:rsidRDefault="007877A6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настоящее время имеются следующие типы тонкопленочных </w:t>
      </w:r>
      <w:r w:rsidR="007E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F2591" w:rsidRPr="00AF2591" w:rsidRDefault="007877A6" w:rsidP="00AF2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Аморфные панели (аморфные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кремниевые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элементы).</w:t>
      </w:r>
    </w:p>
    <w:p w:rsidR="007877A6" w:rsidRPr="00E8574C" w:rsidRDefault="00AF2591" w:rsidP="00AF25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гибких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кремниевые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элементы. </w:t>
      </w:r>
      <w:r w:rsidR="007877A6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(a-Si). Так </w:t>
      </w:r>
      <w:r w:rsidR="0042016F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</w:t>
      </w:r>
      <w:r w:rsidR="00420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ают</w:t>
      </w:r>
      <w:r w:rsidR="007877A6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E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аморфный кремний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который образуется</w:t>
      </w:r>
      <w:r w:rsidR="007877A6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ра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зложения</w:t>
      </w:r>
      <w:r w:rsidR="007877A6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силана 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(SiH</w:t>
      </w:r>
      <w:r w:rsidR="004E059A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="007877A6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 воздействием электрического разряда.</w:t>
      </w:r>
      <w:r w:rsidR="007877A6" w:rsidRPr="00E8574C">
        <w:t xml:space="preserve"> </w:t>
      </w:r>
      <w:r w:rsidR="00C07A4E">
        <w:rPr>
          <w:rFonts w:ascii="Times New Roman" w:hAnsi="Times New Roman"/>
        </w:rPr>
        <w:t xml:space="preserve">В </w:t>
      </w:r>
      <w:r w:rsidR="00C07A4E" w:rsidRP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A4E" w:rsidRP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A4E" w:rsidRP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существует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A4E" w:rsidRP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A4E" w:rsidRP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поколения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A4E" w:rsidRP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аморфных солнечных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модулей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877A6" w:rsidRPr="00E8574C" w:rsidRDefault="007877A6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первое 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поколение 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создано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вскоре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разработки технологи</w:t>
      </w:r>
      <w:r w:rsidR="007E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9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п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анели 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имели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A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коэффициент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преобразования</w:t>
      </w:r>
      <w:r w:rsidR="007E0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менее 5%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срок службы</w:t>
      </w:r>
      <w:r w:rsidR="00E9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3-5 лет;</w:t>
      </w:r>
    </w:p>
    <w:p w:rsidR="007877A6" w:rsidRPr="00E8574C" w:rsidRDefault="007877A6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второе 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поколение</w:t>
      </w:r>
      <w:r w:rsidR="007A29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наиболее </w:t>
      </w:r>
      <w:r w:rsidR="009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распространенным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него приходится</w:t>
      </w:r>
      <w:r w:rsidR="005B1472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более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70% </w:t>
      </w:r>
      <w:r w:rsidR="009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продаваемых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аморфных панелей. Их 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преобразования солнечной радиации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вырос до 8-9%, а срок 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службы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10 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B1472" w:rsidRDefault="007877A6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EB277A" w:rsidRP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третье поколение - это самые совершенные аморфные аккумуляторы. Значительные инвестиции в разработку привели к 15-летнему сроку службы и коэффициенту конверсии 12%, что всего на 20-30% ниже, чем у поликристаллических батарей стандартного производства.</w:t>
      </w:r>
    </w:p>
    <w:p w:rsidR="007877A6" w:rsidRDefault="004E059A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7877A6" w:rsidRPr="002F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Микроморфные (полиморфные) панели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7A6" w:rsidRDefault="00EB277A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Тенденцией к развитию технологии аморфных солнечных элементов является производство полиморфных (также назы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ваемых микроморфными) модулей. 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Они представляют собой многослойные структуры, каждый из слоев </w:t>
      </w:r>
      <w:r w:rsidR="0036267C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a-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</w:t>
      </w:r>
      <w:r w:rsidR="0036267C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по-своему уникален.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изделия </w:t>
      </w:r>
      <w:r w:rsidR="0036267C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6267C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Solar Electro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имеют основной слой из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наноструктурированного аморфного кремния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дополнительные слои панели получены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традиционной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[1].</w:t>
      </w:r>
    </w:p>
    <w:p w:rsidR="007877A6" w:rsidRPr="00AE31E1" w:rsidRDefault="004E059A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ибкие солнечные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1472" w:rsidRP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на основе</w:t>
      </w:r>
      <w:r w:rsidR="005B1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арсенид-галлия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30DB9" w:rsidRDefault="007877A6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Арсенид галлия (GaAs) 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самы</w:t>
      </w:r>
      <w:r w:rsidR="008D3D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3626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наилучший на сегодняшний день компонент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фотовольтатики. </w:t>
      </w:r>
      <w:r w:rsidR="00E949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элементы</w:t>
      </w:r>
      <w:r w:rsidR="002922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этого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материала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самый высокий из достигнутых на настоящий момент 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конверсии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до </w:t>
      </w:r>
      <w:r w:rsidR="004E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44%</w:t>
      </w:r>
      <w:r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массовом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около </w:t>
      </w:r>
      <w:r w:rsidR="004E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30%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значительно превышая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лучшие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кремниевых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образцов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[1].Он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используется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производства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солнечных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модулей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космических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приложений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мощных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концентрирующих</w:t>
      </w:r>
      <w:r w:rsid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0DB9" w:rsidRPr="00530D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электростанций.</w:t>
      </w:r>
    </w:p>
    <w:p w:rsidR="00AF2591" w:rsidRPr="00AF2591" w:rsidRDefault="004E059A" w:rsidP="00FA703C">
      <w:pPr>
        <w:spacing w:after="0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адмий-теллуридные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тонкопленочные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аккумуляторы.</w:t>
      </w:r>
    </w:p>
    <w:p w:rsidR="007877A6" w:rsidRDefault="002F1C22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Полупроводниковая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пленок CdTe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(общая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толщина </w:t>
      </w:r>
      <w:r w:rsidR="004E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2-8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мкм).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однопереходный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полупроводник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7A6" w:rsidRPr="00E85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шириной запрещенной зоны </w:t>
      </w:r>
      <w:r w:rsidR="004E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1,46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эВ,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эффективность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0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29%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Фактическая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эффективность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преобразования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фотоэлектрических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элементов,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доступных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рынке,</w:t>
      </w:r>
      <w:r w:rsid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2591" w:rsidRPr="00AF25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составляет 15-17%.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77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77A6" w:rsidRPr="002F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Солнечные элементы CIGS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F2591" w:rsidRDefault="002F1C22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основе селенида меди-галлия-индия Cu(InGa)Se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альтернативой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аморфного кремния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B277A" w:rsidRP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Этот материал имеет самый высокий коэффициент поглощения среди всех полупроводников, используемых в фотоэлектрической промышленности, и может быть достигнут высокий коэффициент преобразования, поскольку пленки могут быть выращены толщиной всего несколько сотен нанометров.</w:t>
      </w:r>
    </w:p>
    <w:p w:rsidR="007877A6" w:rsidRDefault="007877A6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F6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Органические (полимерные) гибкие солнечные элементы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877A6" w:rsidRDefault="007877A6" w:rsidP="007877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Полимерные гибкие солнечные панели 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основаны на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тонких </w:t>
      </w:r>
      <w:r w:rsidR="0095668A"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пленка</w:t>
      </w:r>
      <w:r w:rsidR="009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2F1C22"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(менее 100 нм) фуллеренов, 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образую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называемые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«полимерный полупроводник». </w:t>
      </w:r>
      <w:r w:rsidR="002F1C22"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C22"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позволяет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C22"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C22"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ультратонкие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1C22" w:rsidRP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недорогие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</w:t>
      </w:r>
      <w:r w:rsidR="009566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модули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удельная стоимость генерации 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которых, 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прогнозам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составит </w:t>
      </w:r>
      <w:r w:rsidR="002F1C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0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AE31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9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доллара за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 </w:t>
      </w:r>
      <w:r w:rsidR="00795901"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2023-2025 г</w:t>
      </w:r>
      <w:r w:rsidR="0079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одам</w:t>
      </w:r>
      <w:r w:rsidR="00795901"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8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871A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B0929" w:rsidRPr="008B0929" w:rsidRDefault="00BB59E3" w:rsidP="008B0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Сотрудники Московского университета совместно с китайскими коллегами из Уханьского университета решили проблему поглощения света в узком спектральном диапазоне, где потери энергии при передаче заряда между компонентами возрастают, и разработали высокоэффективные органические солнечные батареи на основе тройных смесей органических полупроводников. Кроме того, был разработан и добавлен еще один компонент — сложная органическая молекула, которую легко синтезировать.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молекулы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поглоща</w:t>
      </w:r>
      <w:r w:rsidR="0079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солнечный свет в промежуточном диапазоне спектра между донором и акцептором. В результате фотоэффект </w:t>
      </w:r>
      <w:r w:rsidR="0079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возникает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всех трех полупроводниках, но носител</w:t>
      </w:r>
      <w:r w:rsidR="0079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заряда легче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5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переносятся: дополнительный компонент действует 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мостик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позволяя 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«перейти»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электронам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легч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чем перепрыгнуть с одного «берега» (донора) на другой (акцептор).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потери энергии 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снижаются,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эффективность преобразования солнечного света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увеличивается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18% (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первоначальными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16%), 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достигая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мирово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устройств</w:t>
      </w:r>
      <w:r w:rsidR="007854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такого типа</w:t>
      </w:r>
      <w:r w:rsid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929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[2].</w:t>
      </w:r>
    </w:p>
    <w:p w:rsidR="0057625F" w:rsidRPr="0057625F" w:rsidRDefault="0057625F" w:rsidP="00576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фотоэле</w:t>
      </w:r>
      <w:r w:rsid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ктрические панели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ограниченн</w:t>
      </w:r>
      <w:r w:rsid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коэффициент преобразования солнечной радиации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для е</w:t>
      </w:r>
      <w:r w:rsid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повышения 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 новые решения. В 2022 году основные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достижения в 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этой</w:t>
      </w:r>
      <w:r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области были связаны с перовскитом.</w:t>
      </w:r>
    </w:p>
    <w:p w:rsidR="0057625F" w:rsidRDefault="00EB277A" w:rsidP="00576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27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Прорывом в области солнечной энергетики стал фотоэлектрический элемент с добавлением перовскита. Полупроводники из перовскита для фотоэлементов могут быть изготовлены при комнатной температуре и с меньшими затратами, чем кремний. Фотоэлементы из перовскита, поскольку они могут быть изготовлены гибкими и полупрозрачными, что расширяет сферу их применения. Исследователи из Сингапурского университета успешно разработали инновационный внутрисхемный слой, который снижает потери напряжения, оптические и электрические потери.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</w:t>
      </w:r>
      <w:r w:rsidR="0057625F"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инновация 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позволила </w:t>
      </w:r>
      <w:r w:rsidR="0057625F"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57625F"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производительность перовскитово-органических тандемных солнечных элементов до 23,6% [</w:t>
      </w:r>
      <w:r w:rsidR="00866F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7625F" w:rsidRPr="005762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</w:t>
      </w:r>
    </w:p>
    <w:p w:rsidR="00A77038" w:rsidRPr="008B0929" w:rsidRDefault="008B0929" w:rsidP="00A7703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Тонкопленочный </w:t>
      </w:r>
      <w:r w:rsidR="00A7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фотоэлектрические панели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недостатки,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преоб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разования солнечной радиации и короткий</w:t>
      </w:r>
      <w:r w:rsidR="00A7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срок службы (обычно 3 – 4 года).  Кроме того,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тонкопленочные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панели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сильно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нагреваются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жаркое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года,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приводит к снижению всех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характеристик </w:t>
      </w:r>
      <w:r w:rsidR="00A77038"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[4].</w:t>
      </w:r>
    </w:p>
    <w:p w:rsidR="008B0929" w:rsidRPr="008B0929" w:rsidRDefault="008B0929" w:rsidP="008B09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Тонкопленочные гибкие солнечные 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батареи, интегрируемые в здания, являются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быстрор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астущи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сегмент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рынка солнечной энергетики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ключевым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элемент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концепции дома с нулевым выбросом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углерода.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могут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электроэнергию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крыше,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поверхностях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архитектурных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элементах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,таких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фасады,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навесы,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перспективе,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3673C" w:rsidRP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окна.</w:t>
      </w:r>
      <w:r w:rsidR="005367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B59E3" w:rsidRPr="00BB59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Компания Solartek группы Техноспарк (входит в инвестиционную сеть Фонда инфраструктурных и образовательных программ) изготовила герметичную часть солнечной крыши на основе гибкой фотоэлектрической панели площадью 6,8 м2, самой большой гибкой солнечной панели, производимой в России. Ранее в этом году Solartek использовала технологию склеивания тонких пленок собственной разработки, разработанную Solartek.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Эта технология 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позволяет производить цельные гибкие модули любых размеров, 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ускоря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ют и удешевляют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установку 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на крыше. В герметичный фрагмент солнечной кровли инте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грированы 248 гибких тонкопленочных ячеек, которые преобразуют солнечный свет в электроэнергию. </w:t>
      </w:r>
      <w:r w:rsidR="00EC59BA" w:rsidRP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Панели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BA" w:rsidRP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BA" w:rsidRP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вырабатывать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BA" w:rsidRP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электричество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C59BA" w:rsidRP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даже</w:t>
      </w:r>
      <w:r w:rsidR="00EC5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частичном затмении, при этом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отключаются только т</w:t>
      </w:r>
      <w:r w:rsidR="00A77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ячейки, которые попали в тень </w:t>
      </w:r>
      <w:r w:rsidRPr="008B09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[5].</w:t>
      </w:r>
    </w:p>
    <w:p w:rsidR="008B0929" w:rsidRPr="008B0929" w:rsidRDefault="008B0929" w:rsidP="008B092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B0929" w:rsidRDefault="00984085" w:rsidP="008B0929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B0929">
        <w:rPr>
          <w:rFonts w:ascii="Times New Roman" w:eastAsia="Calibri" w:hAnsi="Times New Roman" w:cs="Times New Roman"/>
          <w:sz w:val="24"/>
          <w:szCs w:val="24"/>
        </w:rPr>
        <w:t>СПИСОК ИСПОЛЬЗУЕМЫХ ИСТОЧНИКОВ</w:t>
      </w:r>
    </w:p>
    <w:p w:rsidR="008B0929" w:rsidRPr="008B0929" w:rsidRDefault="00866FBC" w:rsidP="00866FB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8B0929">
        <w:rPr>
          <w:rFonts w:ascii="Times New Roman" w:eastAsia="Calibri" w:hAnsi="Times New Roman" w:cs="Times New Roman"/>
          <w:sz w:val="24"/>
          <w:szCs w:val="24"/>
        </w:rPr>
        <w:t xml:space="preserve">Гибкие солнечные панели. Выбор из 6 лучших вариантов // [Электронный ресурс] // </w:t>
      </w:r>
      <w:r w:rsidRPr="008B092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B0929">
        <w:rPr>
          <w:rFonts w:ascii="Times New Roman" w:eastAsia="Calibri" w:hAnsi="Times New Roman" w:cs="Times New Roman"/>
          <w:sz w:val="24"/>
          <w:szCs w:val="24"/>
        </w:rPr>
        <w:t>: https://smarthomegadget.ru/gibkie-solnechnye-paneli/ (дата обращения 23.03.2023)</w:t>
      </w:r>
    </w:p>
    <w:p w:rsidR="008B0929" w:rsidRPr="008B0929" w:rsidRDefault="008B0929" w:rsidP="008B0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29">
        <w:rPr>
          <w:rFonts w:ascii="Times New Roman" w:eastAsia="Calibri" w:hAnsi="Times New Roman" w:cs="Times New Roman"/>
          <w:sz w:val="24"/>
          <w:szCs w:val="24"/>
        </w:rPr>
        <w:t xml:space="preserve">2. Дополнительный светопоглощающий компонент сделал органические солнечные батареи более эффективными и долговечными // [Электронный ресурс] // </w:t>
      </w:r>
      <w:r w:rsidRPr="008B092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B0929">
        <w:rPr>
          <w:rFonts w:ascii="Times New Roman" w:eastAsia="Calibri" w:hAnsi="Times New Roman" w:cs="Times New Roman"/>
          <w:sz w:val="24"/>
          <w:szCs w:val="24"/>
        </w:rPr>
        <w:t>: https://scientificrussia.ru/articles/dopolnitelnyj-svetopoglosausij-komponent-sdelal-organiceskie-solnecnye-batarei-bolee-effektivnymi-i-dolgovecnymi (дата обращения 23.03.2023)</w:t>
      </w:r>
    </w:p>
    <w:p w:rsidR="008B0929" w:rsidRPr="008B0929" w:rsidRDefault="008B0929" w:rsidP="008B0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29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866FBC" w:rsidRPr="008B0929">
        <w:rPr>
          <w:rFonts w:ascii="Times New Roman" w:eastAsia="Calibri" w:hAnsi="Times New Roman" w:cs="Times New Roman"/>
          <w:sz w:val="24"/>
          <w:szCs w:val="24"/>
        </w:rPr>
        <w:t xml:space="preserve">Ключевые прорывы в солнечной энергетике в 2022 году // [Электронный ресурс] // </w:t>
      </w:r>
      <w:r w:rsidR="00866FBC" w:rsidRPr="008B092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="00866FBC" w:rsidRPr="008B0929">
        <w:rPr>
          <w:rFonts w:ascii="Times New Roman" w:eastAsia="Calibri" w:hAnsi="Times New Roman" w:cs="Times New Roman"/>
          <w:sz w:val="24"/>
          <w:szCs w:val="24"/>
        </w:rPr>
        <w:t>: https://eenergy.media/archives/25087 (дата обращения 25.03.2023)</w:t>
      </w:r>
    </w:p>
    <w:p w:rsidR="008B0929" w:rsidRPr="008B0929" w:rsidRDefault="008B0929" w:rsidP="008B0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29">
        <w:rPr>
          <w:rFonts w:ascii="Times New Roman" w:eastAsia="Calibri" w:hAnsi="Times New Roman" w:cs="Times New Roman"/>
          <w:sz w:val="24"/>
          <w:szCs w:val="24"/>
        </w:rPr>
        <w:t xml:space="preserve">4. Отличия гибких солнечных панелей от жестких, их плюсы и минусы // [Электронный ресурс] // </w:t>
      </w:r>
      <w:r w:rsidRPr="008B092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B0929">
        <w:rPr>
          <w:rFonts w:ascii="Times New Roman" w:eastAsia="Calibri" w:hAnsi="Times New Roman" w:cs="Times New Roman"/>
          <w:sz w:val="24"/>
          <w:szCs w:val="24"/>
        </w:rPr>
        <w:t>: https://batteryk.com/gibkie-solnechnye-paneli</w:t>
      </w:r>
      <w:r w:rsidRPr="008B0929">
        <w:rPr>
          <w:rFonts w:ascii="Times New Roman" w:eastAsia="Calibri" w:hAnsi="Times New Roman" w:cs="Times New Roman"/>
          <w:color w:val="0000FF"/>
          <w:sz w:val="24"/>
          <w:szCs w:val="24"/>
        </w:rPr>
        <w:t xml:space="preserve"> </w:t>
      </w:r>
      <w:r w:rsidRPr="008B0929">
        <w:rPr>
          <w:rFonts w:ascii="Times New Roman" w:eastAsia="Calibri" w:hAnsi="Times New Roman" w:cs="Times New Roman"/>
          <w:sz w:val="24"/>
          <w:szCs w:val="24"/>
        </w:rPr>
        <w:t>(дата обращения 23.03.2023)</w:t>
      </w:r>
    </w:p>
    <w:p w:rsidR="008B0929" w:rsidRPr="008B0929" w:rsidRDefault="008B0929" w:rsidP="008B092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0929">
        <w:rPr>
          <w:rFonts w:ascii="Times New Roman" w:eastAsia="Calibri" w:hAnsi="Times New Roman" w:cs="Times New Roman"/>
          <w:sz w:val="24"/>
          <w:szCs w:val="24"/>
        </w:rPr>
        <w:t xml:space="preserve">5. Solartek изготовил первый в России фрагмент солнечной кровли сверхбольшого размера // [Электронный ресурс] // </w:t>
      </w:r>
      <w:r w:rsidRPr="008B0929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8B0929">
        <w:rPr>
          <w:rFonts w:ascii="Times New Roman" w:eastAsia="Calibri" w:hAnsi="Times New Roman" w:cs="Times New Roman"/>
          <w:sz w:val="24"/>
          <w:szCs w:val="24"/>
        </w:rPr>
        <w:t>: https://www.rusnano.com/news/20220316-fiop-solartek-izgotovil-perviy-v-rossii-fragment-solnechnoy-krovli-sverkhbolshogo-razmera/ (дата обращения 01.04.2023)</w:t>
      </w:r>
    </w:p>
    <w:p w:rsidR="008B0929" w:rsidRPr="0057625F" w:rsidRDefault="008B0929" w:rsidP="00576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31DC" w:rsidRPr="0057625F" w:rsidRDefault="007631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7631DC" w:rsidRPr="0057625F" w:rsidSect="0047717D">
      <w:pgSz w:w="11906" w:h="16838"/>
      <w:pgMar w:top="1134" w:right="1134" w:bottom="1134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B61" w:rsidRDefault="00BD3B61">
      <w:pPr>
        <w:spacing w:after="0" w:line="240" w:lineRule="auto"/>
      </w:pPr>
      <w:r>
        <w:separator/>
      </w:r>
    </w:p>
  </w:endnote>
  <w:endnote w:type="continuationSeparator" w:id="0">
    <w:p w:rsidR="00BD3B61" w:rsidRDefault="00BD3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B61" w:rsidRDefault="00BD3B61">
      <w:pPr>
        <w:spacing w:after="0" w:line="240" w:lineRule="auto"/>
      </w:pPr>
      <w:r>
        <w:separator/>
      </w:r>
    </w:p>
  </w:footnote>
  <w:footnote w:type="continuationSeparator" w:id="0">
    <w:p w:rsidR="00BD3B61" w:rsidRDefault="00BD3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69"/>
    <w:rsid w:val="00002725"/>
    <w:rsid w:val="0001354C"/>
    <w:rsid w:val="000E4342"/>
    <w:rsid w:val="000E5ACE"/>
    <w:rsid w:val="00173BDE"/>
    <w:rsid w:val="00183B2F"/>
    <w:rsid w:val="00190D5C"/>
    <w:rsid w:val="001955A3"/>
    <w:rsid w:val="001E01F0"/>
    <w:rsid w:val="002359DD"/>
    <w:rsid w:val="00245A69"/>
    <w:rsid w:val="0029225C"/>
    <w:rsid w:val="00294D4B"/>
    <w:rsid w:val="002C5817"/>
    <w:rsid w:val="002F1C22"/>
    <w:rsid w:val="0036267C"/>
    <w:rsid w:val="00384461"/>
    <w:rsid w:val="003B02B0"/>
    <w:rsid w:val="003D49D8"/>
    <w:rsid w:val="0042016F"/>
    <w:rsid w:val="004614A5"/>
    <w:rsid w:val="004718C3"/>
    <w:rsid w:val="0047717D"/>
    <w:rsid w:val="00480A52"/>
    <w:rsid w:val="004D37EB"/>
    <w:rsid w:val="004E059A"/>
    <w:rsid w:val="00530DB9"/>
    <w:rsid w:val="0053673C"/>
    <w:rsid w:val="00564E70"/>
    <w:rsid w:val="0057625F"/>
    <w:rsid w:val="00581335"/>
    <w:rsid w:val="005B1472"/>
    <w:rsid w:val="005E35ED"/>
    <w:rsid w:val="00653508"/>
    <w:rsid w:val="006758AE"/>
    <w:rsid w:val="00731849"/>
    <w:rsid w:val="007631DC"/>
    <w:rsid w:val="00763AD2"/>
    <w:rsid w:val="00785466"/>
    <w:rsid w:val="007877A6"/>
    <w:rsid w:val="00791FCB"/>
    <w:rsid w:val="00795901"/>
    <w:rsid w:val="007A2906"/>
    <w:rsid w:val="007D6D3B"/>
    <w:rsid w:val="007E0332"/>
    <w:rsid w:val="00866FBC"/>
    <w:rsid w:val="00867A99"/>
    <w:rsid w:val="008704F2"/>
    <w:rsid w:val="008B0929"/>
    <w:rsid w:val="008B6BD9"/>
    <w:rsid w:val="008D3D7F"/>
    <w:rsid w:val="0095668A"/>
    <w:rsid w:val="00980C34"/>
    <w:rsid w:val="00984085"/>
    <w:rsid w:val="009B5427"/>
    <w:rsid w:val="009F1DF3"/>
    <w:rsid w:val="009F33D9"/>
    <w:rsid w:val="00A16922"/>
    <w:rsid w:val="00A5355E"/>
    <w:rsid w:val="00A769F8"/>
    <w:rsid w:val="00A77038"/>
    <w:rsid w:val="00A84CD4"/>
    <w:rsid w:val="00AE31E1"/>
    <w:rsid w:val="00AF2591"/>
    <w:rsid w:val="00B73E6C"/>
    <w:rsid w:val="00BB59E3"/>
    <w:rsid w:val="00BB7A3A"/>
    <w:rsid w:val="00BD3B61"/>
    <w:rsid w:val="00C015A6"/>
    <w:rsid w:val="00C07A4E"/>
    <w:rsid w:val="00C16A91"/>
    <w:rsid w:val="00D4388D"/>
    <w:rsid w:val="00DC145E"/>
    <w:rsid w:val="00DF1163"/>
    <w:rsid w:val="00E33AB5"/>
    <w:rsid w:val="00E9493D"/>
    <w:rsid w:val="00EA6EC7"/>
    <w:rsid w:val="00EB0B83"/>
    <w:rsid w:val="00EB277A"/>
    <w:rsid w:val="00EC59BA"/>
    <w:rsid w:val="00F41385"/>
    <w:rsid w:val="00FA703C"/>
    <w:rsid w:val="00FC575D"/>
    <w:rsid w:val="00FC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8E8BD-F5C3-4F5E-A08B-5EF551051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Sans" w:eastAsia="PT Sans" w:hAnsi="PT Sans" w:cs="PT Sans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d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tblPr/>
      <w:tcPr>
        <w:shd w:val="clear" w:color="F2F2F2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band1Vert">
      <w:tblPr/>
      <w:tcPr>
        <w:shd w:val="clear" w:color="B3D0EB" w:fill="B3D0EB" w:themeFill="accent1" w:themeFillTint="75"/>
      </w:tcPr>
    </w:tblStylePr>
    <w:tblStylePr w:type="band1Horz">
      <w:tblPr/>
      <w:tcPr>
        <w:shd w:val="clear" w:color="B3D0EB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band1Vert">
      <w:tblPr/>
      <w:tcPr>
        <w:shd w:val="clear" w:color="F6C3A0" w:fill="F6C3A0" w:themeFill="accent2" w:themeFillTint="75"/>
      </w:tcPr>
    </w:tblStylePr>
    <w:tblStylePr w:type="band1Horz">
      <w:tblPr/>
      <w:tcPr>
        <w:shd w:val="clear" w:color="F6C3A0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band1Vert">
      <w:tblPr/>
      <w:tcPr>
        <w:shd w:val="clear" w:color="D5D5D5" w:fill="D5D5D5" w:themeFill="accent3" w:themeFillTint="75"/>
      </w:tcPr>
    </w:tblStylePr>
    <w:tblStylePr w:type="band1Horz">
      <w:tblPr/>
      <w:tcPr>
        <w:shd w:val="clear" w:color="D5D5D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band1Vert">
      <w:tblPr/>
      <w:tcPr>
        <w:shd w:val="clear" w:color="FFE28A" w:fill="FFE28A" w:themeFill="accent4" w:themeFillTint="75"/>
      </w:tcPr>
    </w:tblStylePr>
    <w:tblStylePr w:type="band1Horz">
      <w:tblPr/>
      <w:tcPr>
        <w:shd w:val="clear" w:color="FFE28A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band1Vert">
      <w:tblPr/>
      <w:tcPr>
        <w:shd w:val="clear" w:color="A9BEE4" w:fill="A9BEE4" w:themeFill="accent5" w:themeFillTint="75"/>
      </w:tcPr>
    </w:tblStylePr>
    <w:tblStylePr w:type="band1Horz">
      <w:tblPr/>
      <w:tcPr>
        <w:shd w:val="clear" w:color="A9BEE4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band1Vert">
      <w:tblPr/>
      <w:tcPr>
        <w:shd w:val="clear" w:color="BCDBA8" w:fill="BCDBA8" w:themeFill="accent6" w:themeFillTint="75"/>
      </w:tcPr>
    </w:tblStylePr>
    <w:tblStylePr w:type="band1Horz">
      <w:tblPr/>
      <w:tcPr>
        <w:shd w:val="clear" w:color="BCDBA8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DEAF6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tblPr/>
      <w:tcPr>
        <w:shd w:val="clear" w:color="D5E5F4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tblPr/>
      <w:tcPr>
        <w:shd w:val="clear" w:color="FADECB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tblPr/>
      <w:tcPr>
        <w:shd w:val="clear" w:color="E8E8E8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tblPr/>
      <w:tcPr>
        <w:shd w:val="clear" w:color="FFEFB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tblPr/>
      <w:tcPr>
        <w:shd w:val="clear" w:color="CFDBF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tblPr/>
      <w:tcPr>
        <w:shd w:val="clear" w:color="DAEBCF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5E5F4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ADECB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E8E8E8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EFB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CFDBF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DAEBC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 Spacing"/>
    <w:basedOn w:val="a"/>
    <w:uiPriority w:val="1"/>
    <w:qFormat/>
    <w:pPr>
      <w:spacing w:after="0" w:line="240" w:lineRule="auto"/>
    </w:pPr>
  </w:style>
  <w:style w:type="paragraph" w:styleId="af8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6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7030B-0A5C-4428-B2E6-B77692C2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Olya</cp:lastModifiedBy>
  <cp:revision>4</cp:revision>
  <dcterms:created xsi:type="dcterms:W3CDTF">2023-04-06T02:38:00Z</dcterms:created>
  <dcterms:modified xsi:type="dcterms:W3CDTF">2023-04-06T02:39:00Z</dcterms:modified>
</cp:coreProperties>
</file>