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numPr>
          <w:numId w:val="1"/>
        </w:numPr>
      </w:pPr>
      <w:r>
        <w:t>Основные методы работы с молодёжью</w:t>
      </w:r>
    </w:p>
    <w:p w14:paraId="02000000">
      <w:pPr>
        <w:pStyle w:val="Style_1"/>
        <w:numPr>
          <w:numId w:val="1"/>
        </w:numPr>
      </w:pPr>
      <w:r>
        <w:t>Демонстрация социальных сетей и их ведение</w:t>
      </w:r>
    </w:p>
    <w:p w14:paraId="03000000">
      <w:pPr>
        <w:pStyle w:val="Style_1"/>
        <w:numPr>
          <w:numId w:val="1"/>
        </w:numPr>
      </w:pPr>
      <w:r>
        <w:t>Презентация  агитационного материала</w:t>
      </w:r>
    </w:p>
    <w:p w14:paraId="04000000">
      <w:pPr>
        <w:pStyle w:val="Style_1"/>
        <w:numPr>
          <w:numId w:val="1"/>
        </w:numPr>
      </w:pPr>
      <w:r>
        <w:t>Для чего именно направлена деятельность народной дружины, значимость студентов для данного общественного объединения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2023-04-08T11:09:22Z</dcterms:modified>
</cp:coreProperties>
</file>