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A390E"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Influence of precursor, crystal and microstructure on electrochemical performance of LiNiO</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 xml:space="preserve"> cathode material</w:t>
      </w:r>
    </w:p>
    <w:p w14:paraId="00000003" w14:textId="37757805" w:rsidR="00BA390E" w:rsidRPr="00610226" w:rsidRDefault="00000000">
      <w:pPr>
        <w:widowControl w:val="0"/>
        <w:spacing w:line="240" w:lineRule="auto"/>
        <w:jc w:val="center"/>
        <w:rPr>
          <w:rFonts w:ascii="Times New Roman" w:eastAsia="Times New Roman" w:hAnsi="Times New Roman" w:cs="Times New Roman"/>
          <w:b/>
          <w:i/>
          <w:sz w:val="24"/>
          <w:szCs w:val="24"/>
          <w:vertAlign w:val="superscript"/>
          <w:lang w:val="en-US"/>
        </w:rPr>
      </w:pPr>
      <w:r w:rsidRPr="00610226">
        <w:rPr>
          <w:rFonts w:ascii="Times New Roman" w:eastAsia="Times New Roman" w:hAnsi="Times New Roman" w:cs="Times New Roman"/>
          <w:b/>
          <w:i/>
          <w:sz w:val="24"/>
          <w:szCs w:val="24"/>
        </w:rPr>
        <w:t>Azad S.</w:t>
      </w:r>
    </w:p>
    <w:p w14:paraId="00000004" w14:textId="40D6693F" w:rsidR="00BA390E" w:rsidRPr="00610226" w:rsidRDefault="00000000" w:rsidP="0061022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center"/>
        <w:rPr>
          <w:rFonts w:ascii="Times New Roman" w:eastAsia="Times New Roman" w:hAnsi="Times New Roman" w:cs="Times New Roman"/>
          <w:i/>
          <w:sz w:val="24"/>
          <w:szCs w:val="24"/>
          <w:highlight w:val="white"/>
        </w:rPr>
      </w:pPr>
      <w:r w:rsidRPr="00610226">
        <w:rPr>
          <w:rFonts w:ascii="Times New Roman" w:eastAsia="Times New Roman" w:hAnsi="Times New Roman" w:cs="Times New Roman"/>
          <w:i/>
          <w:sz w:val="24"/>
          <w:szCs w:val="24"/>
          <w:highlight w:val="white"/>
        </w:rPr>
        <w:t>Student, 2nd year of Masters</w:t>
      </w:r>
    </w:p>
    <w:p w14:paraId="00000005" w14:textId="118D24A2" w:rsidR="00BA390E" w:rsidRPr="00610226" w:rsidRDefault="00000000" w:rsidP="0061022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center"/>
        <w:rPr>
          <w:rFonts w:ascii="Times New Roman" w:eastAsia="Times New Roman" w:hAnsi="Times New Roman" w:cs="Times New Roman"/>
          <w:i/>
          <w:sz w:val="24"/>
          <w:szCs w:val="24"/>
          <w:highlight w:val="white"/>
        </w:rPr>
      </w:pPr>
      <w:proofErr w:type="spellStart"/>
      <w:r w:rsidRPr="00610226">
        <w:rPr>
          <w:rFonts w:ascii="Times New Roman" w:eastAsia="Times New Roman" w:hAnsi="Times New Roman" w:cs="Times New Roman"/>
          <w:i/>
          <w:sz w:val="24"/>
          <w:szCs w:val="24"/>
          <w:highlight w:val="white"/>
        </w:rPr>
        <w:t>Center</w:t>
      </w:r>
      <w:proofErr w:type="spellEnd"/>
      <w:r w:rsidRPr="00610226">
        <w:rPr>
          <w:rFonts w:ascii="Times New Roman" w:eastAsia="Times New Roman" w:hAnsi="Times New Roman" w:cs="Times New Roman"/>
          <w:i/>
          <w:sz w:val="24"/>
          <w:szCs w:val="24"/>
          <w:highlight w:val="white"/>
        </w:rPr>
        <w:t xml:space="preserve"> for Energy Science and Technology, Skolkovo Institute of Science and Technology, Moscow, Russia</w:t>
      </w:r>
    </w:p>
    <w:p w14:paraId="26C202A4" w14:textId="77777777" w:rsidR="00610226" w:rsidRPr="00610226" w:rsidRDefault="00610226" w:rsidP="0061022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 xml:space="preserve">E-mail: </w:t>
      </w:r>
      <w:r w:rsidRPr="00610226">
        <w:rPr>
          <w:rFonts w:ascii="Times New Roman" w:eastAsia="Times New Roman" w:hAnsi="Times New Roman" w:cs="Times New Roman"/>
          <w:i/>
          <w:sz w:val="24"/>
          <w:szCs w:val="24"/>
          <w:u w:val="single"/>
        </w:rPr>
        <w:t>Sara.azad@skoltech.ru</w:t>
      </w:r>
    </w:p>
    <w:p w14:paraId="00000007" w14:textId="5F06E668" w:rsidR="00BA390E" w:rsidRPr="00610226" w:rsidRDefault="00000000" w:rsidP="0061022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397"/>
        <w:jc w:val="both"/>
        <w:rPr>
          <w:rFonts w:ascii="Times New Roman" w:eastAsia="Times New Roman" w:hAnsi="Times New Roman" w:cs="Times New Roman"/>
          <w:sz w:val="24"/>
          <w:szCs w:val="24"/>
          <w:highlight w:val="white"/>
        </w:rPr>
      </w:pPr>
      <w:r w:rsidRPr="00610226">
        <w:rPr>
          <w:rFonts w:ascii="Times New Roman" w:eastAsia="Times New Roman" w:hAnsi="Times New Roman" w:cs="Times New Roman"/>
          <w:sz w:val="24"/>
          <w:szCs w:val="24"/>
          <w:highlight w:val="white"/>
        </w:rPr>
        <w:t>The demand for reliable energy storage devices, driven by renewable energy sources, has spurred the quest for fast-charging, lightweight, and dependable storage technologies. Lithium-ion batteries (LIBs) have emerged as the preferred power sources for consumer electronics, renewable energy plants, and sustainable vehicles [</w:t>
      </w:r>
      <w:hyperlink r:id="rId5">
        <w:r w:rsidRPr="00610226">
          <w:rPr>
            <w:rFonts w:ascii="Times New Roman" w:eastAsia="Times New Roman" w:hAnsi="Times New Roman" w:cs="Times New Roman"/>
            <w:sz w:val="24"/>
            <w:szCs w:val="24"/>
            <w:highlight w:val="white"/>
          </w:rPr>
          <w:t>1</w:t>
        </w:r>
      </w:hyperlink>
      <w:r w:rsidRPr="00610226">
        <w:rPr>
          <w:rFonts w:ascii="Times New Roman" w:eastAsia="Times New Roman" w:hAnsi="Times New Roman" w:cs="Times New Roman"/>
          <w:sz w:val="24"/>
          <w:szCs w:val="24"/>
          <w:highlight w:val="white"/>
        </w:rPr>
        <w:t>]. Cathode materials play a pivotal role in LIBs, significantly influencing their electrochemical performance and cost [</w:t>
      </w:r>
      <w:hyperlink r:id="rId6">
        <w:r w:rsidRPr="00610226">
          <w:rPr>
            <w:rFonts w:ascii="Times New Roman" w:eastAsia="Times New Roman" w:hAnsi="Times New Roman" w:cs="Times New Roman"/>
            <w:sz w:val="24"/>
            <w:szCs w:val="24"/>
            <w:highlight w:val="white"/>
          </w:rPr>
          <w:t>2</w:t>
        </w:r>
      </w:hyperlink>
      <w:r w:rsidRPr="00610226">
        <w:rPr>
          <w:rFonts w:ascii="Times New Roman" w:eastAsia="Times New Roman" w:hAnsi="Times New Roman" w:cs="Times New Roman"/>
          <w:sz w:val="24"/>
          <w:szCs w:val="24"/>
          <w:highlight w:val="white"/>
        </w:rPr>
        <w:t>]. Ni-rich layered oxides exhibit promising electrochemical properties, including high reversible specific capacity and energy density. Despite progress, finding the optimal approach remains elusive due to trade-offs among different electrochemical characteristics.</w:t>
      </w:r>
    </w:p>
    <w:p w14:paraId="266DD812" w14:textId="77777777" w:rsidR="00610226" w:rsidRPr="00610226" w:rsidRDefault="00000000" w:rsidP="00610226">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firstLine="397"/>
        <w:jc w:val="both"/>
        <w:rPr>
          <w:rFonts w:ascii="Times New Roman" w:eastAsia="Times New Roman" w:hAnsi="Times New Roman" w:cs="Times New Roman"/>
          <w:color w:val="000000"/>
          <w:sz w:val="24"/>
          <w:szCs w:val="24"/>
          <w:highlight w:val="white"/>
        </w:rPr>
      </w:pPr>
      <w:r w:rsidRPr="00610226">
        <w:rPr>
          <w:rFonts w:ascii="Times New Roman" w:eastAsia="Times New Roman" w:hAnsi="Times New Roman" w:cs="Times New Roman"/>
          <w:color w:val="000000"/>
          <w:sz w:val="24"/>
          <w:szCs w:val="24"/>
          <w:highlight w:val="white"/>
        </w:rPr>
        <w:t>This study aims to investigate the synthesis techniques for LiNiO</w:t>
      </w:r>
      <w:r w:rsidRPr="00610226">
        <w:rPr>
          <w:rFonts w:ascii="Times New Roman" w:eastAsia="Times New Roman" w:hAnsi="Times New Roman" w:cs="Times New Roman"/>
          <w:color w:val="000000"/>
          <w:sz w:val="24"/>
          <w:szCs w:val="24"/>
          <w:highlight w:val="white"/>
          <w:vertAlign w:val="subscript"/>
        </w:rPr>
        <w:t xml:space="preserve">2 </w:t>
      </w:r>
      <w:r w:rsidRPr="00610226">
        <w:rPr>
          <w:rFonts w:ascii="Times New Roman" w:eastAsia="Times New Roman" w:hAnsi="Times New Roman" w:cs="Times New Roman"/>
          <w:color w:val="000000"/>
          <w:sz w:val="24"/>
          <w:szCs w:val="24"/>
          <w:highlight w:val="white"/>
        </w:rPr>
        <w:t>to achieve improved electrochemical stability while maintaining high energy density. Precursor preparation, involving α and β-</w:t>
      </w:r>
      <w:proofErr w:type="gramStart"/>
      <w:r w:rsidRPr="00610226">
        <w:rPr>
          <w:rFonts w:ascii="Times New Roman" w:eastAsia="Times New Roman" w:hAnsi="Times New Roman" w:cs="Times New Roman"/>
          <w:color w:val="000000"/>
          <w:sz w:val="24"/>
          <w:szCs w:val="24"/>
          <w:highlight w:val="white"/>
        </w:rPr>
        <w:t>Ni(</w:t>
      </w:r>
      <w:proofErr w:type="gramEnd"/>
      <w:r w:rsidRPr="00610226">
        <w:rPr>
          <w:rFonts w:ascii="Times New Roman" w:eastAsia="Times New Roman" w:hAnsi="Times New Roman" w:cs="Times New Roman"/>
          <w:color w:val="000000"/>
          <w:sz w:val="24"/>
          <w:szCs w:val="24"/>
          <w:highlight w:val="white"/>
        </w:rPr>
        <w:t>OH)</w:t>
      </w:r>
      <w:r w:rsidRPr="00610226">
        <w:rPr>
          <w:rFonts w:ascii="Times New Roman" w:eastAsia="Times New Roman" w:hAnsi="Times New Roman" w:cs="Times New Roman"/>
          <w:color w:val="000000"/>
          <w:sz w:val="24"/>
          <w:szCs w:val="24"/>
          <w:highlight w:val="white"/>
          <w:vertAlign w:val="subscript"/>
        </w:rPr>
        <w:t>2</w:t>
      </w:r>
      <w:r w:rsidRPr="00610226">
        <w:rPr>
          <w:rFonts w:ascii="Times New Roman" w:eastAsia="Times New Roman" w:hAnsi="Times New Roman" w:cs="Times New Roman"/>
          <w:color w:val="000000"/>
          <w:sz w:val="24"/>
          <w:szCs w:val="24"/>
          <w:highlight w:val="white"/>
        </w:rPr>
        <w:t>, along with high-temperature lithiation and thorough characterization, constitute essential steps in the optimization process. α-</w:t>
      </w:r>
      <w:proofErr w:type="gramStart"/>
      <w:r w:rsidRPr="00610226">
        <w:rPr>
          <w:rFonts w:ascii="Times New Roman" w:eastAsia="Times New Roman" w:hAnsi="Times New Roman" w:cs="Times New Roman"/>
          <w:color w:val="000000"/>
          <w:sz w:val="24"/>
          <w:szCs w:val="24"/>
          <w:highlight w:val="white"/>
        </w:rPr>
        <w:t>Ni(</w:t>
      </w:r>
      <w:proofErr w:type="gramEnd"/>
      <w:r w:rsidRPr="00610226">
        <w:rPr>
          <w:rFonts w:ascii="Times New Roman" w:eastAsia="Times New Roman" w:hAnsi="Times New Roman" w:cs="Times New Roman"/>
          <w:color w:val="000000"/>
          <w:sz w:val="24"/>
          <w:szCs w:val="24"/>
          <w:highlight w:val="white"/>
        </w:rPr>
        <w:t>OH)</w:t>
      </w:r>
      <w:r w:rsidRPr="00610226">
        <w:rPr>
          <w:rFonts w:ascii="Times New Roman" w:eastAsia="Times New Roman" w:hAnsi="Times New Roman" w:cs="Times New Roman"/>
          <w:color w:val="000000"/>
          <w:sz w:val="24"/>
          <w:szCs w:val="24"/>
          <w:highlight w:val="white"/>
          <w:vertAlign w:val="subscript"/>
        </w:rPr>
        <w:t xml:space="preserve">2 </w:t>
      </w:r>
      <w:r w:rsidRPr="00610226">
        <w:rPr>
          <w:rFonts w:ascii="Times New Roman" w:eastAsia="Times New Roman" w:hAnsi="Times New Roman" w:cs="Times New Roman"/>
          <w:color w:val="000000"/>
          <w:sz w:val="24"/>
          <w:szCs w:val="24"/>
          <w:highlight w:val="white"/>
        </w:rPr>
        <w:t>typically forms under specific conditions and exhibits distinct structural and chemical properties compared to β-Ni(OH)</w:t>
      </w:r>
      <w:r w:rsidRPr="00610226">
        <w:rPr>
          <w:rFonts w:ascii="Times New Roman" w:eastAsia="Times New Roman" w:hAnsi="Times New Roman" w:cs="Times New Roman"/>
          <w:color w:val="000000"/>
          <w:sz w:val="24"/>
          <w:szCs w:val="24"/>
          <w:highlight w:val="white"/>
          <w:vertAlign w:val="subscript"/>
        </w:rPr>
        <w:t>2</w:t>
      </w:r>
      <w:r w:rsidRPr="00610226">
        <w:rPr>
          <w:rFonts w:ascii="Times New Roman" w:eastAsia="Times New Roman" w:hAnsi="Times New Roman" w:cs="Times New Roman"/>
          <w:color w:val="000000"/>
          <w:sz w:val="24"/>
          <w:szCs w:val="24"/>
          <w:highlight w:val="white"/>
        </w:rPr>
        <w:t>, which is more commonly encountered and has practical applications in various fields [3]. In the investigation of LiNi</w:t>
      </w:r>
      <w:r w:rsidRPr="00610226">
        <w:rPr>
          <w:rFonts w:ascii="Times New Roman" w:eastAsia="Times New Roman" w:hAnsi="Times New Roman" w:cs="Times New Roman"/>
          <w:color w:val="000000"/>
          <w:sz w:val="24"/>
          <w:szCs w:val="24"/>
          <w:highlight w:val="white"/>
          <w:vertAlign w:val="subscript"/>
        </w:rPr>
        <w:t>0.6</w:t>
      </w:r>
      <w:r w:rsidRPr="00610226">
        <w:rPr>
          <w:rFonts w:ascii="Times New Roman" w:eastAsia="Times New Roman" w:hAnsi="Times New Roman" w:cs="Times New Roman"/>
          <w:color w:val="000000"/>
          <w:sz w:val="24"/>
          <w:szCs w:val="24"/>
          <w:highlight w:val="white"/>
        </w:rPr>
        <w:t>Mn</w:t>
      </w:r>
      <w:r w:rsidRPr="00610226">
        <w:rPr>
          <w:rFonts w:ascii="Times New Roman" w:eastAsia="Times New Roman" w:hAnsi="Times New Roman" w:cs="Times New Roman"/>
          <w:color w:val="000000"/>
          <w:sz w:val="24"/>
          <w:szCs w:val="24"/>
          <w:highlight w:val="white"/>
          <w:vertAlign w:val="subscript"/>
        </w:rPr>
        <w:t>0.2</w:t>
      </w:r>
      <w:r w:rsidRPr="00610226">
        <w:rPr>
          <w:rFonts w:ascii="Times New Roman" w:eastAsia="Times New Roman" w:hAnsi="Times New Roman" w:cs="Times New Roman"/>
          <w:color w:val="000000"/>
          <w:sz w:val="24"/>
          <w:szCs w:val="24"/>
          <w:highlight w:val="white"/>
        </w:rPr>
        <w:t>Co</w:t>
      </w:r>
      <w:r w:rsidRPr="00610226">
        <w:rPr>
          <w:rFonts w:ascii="Times New Roman" w:eastAsia="Times New Roman" w:hAnsi="Times New Roman" w:cs="Times New Roman"/>
          <w:color w:val="000000"/>
          <w:sz w:val="24"/>
          <w:szCs w:val="24"/>
          <w:highlight w:val="white"/>
          <w:vertAlign w:val="subscript"/>
        </w:rPr>
        <w:t>0.2</w:t>
      </w:r>
      <w:r w:rsidRPr="00610226">
        <w:rPr>
          <w:rFonts w:ascii="Times New Roman" w:eastAsia="Times New Roman" w:hAnsi="Times New Roman" w:cs="Times New Roman"/>
          <w:color w:val="000000"/>
          <w:sz w:val="24"/>
          <w:szCs w:val="24"/>
          <w:highlight w:val="white"/>
        </w:rPr>
        <w:t>O</w:t>
      </w:r>
      <w:r w:rsidRPr="00610226">
        <w:rPr>
          <w:rFonts w:ascii="Times New Roman" w:eastAsia="Times New Roman" w:hAnsi="Times New Roman" w:cs="Times New Roman"/>
          <w:color w:val="000000"/>
          <w:sz w:val="24"/>
          <w:szCs w:val="24"/>
          <w:highlight w:val="white"/>
          <w:vertAlign w:val="subscript"/>
        </w:rPr>
        <w:t>2</w:t>
      </w:r>
      <w:r w:rsidRPr="00610226">
        <w:rPr>
          <w:rFonts w:ascii="Times New Roman" w:eastAsia="Times New Roman" w:hAnsi="Times New Roman" w:cs="Times New Roman"/>
          <w:color w:val="000000"/>
          <w:sz w:val="24"/>
          <w:szCs w:val="24"/>
          <w:highlight w:val="white"/>
        </w:rPr>
        <w:t xml:space="preserve">, it has been demonstrated that the cathode material synthesised from a blend of α- and β-phases precursors exhibits superior electrochemical characteristics, notably the highest discharge capacity and optimal rate </w:t>
      </w:r>
      <w:proofErr w:type="gramStart"/>
      <w:r w:rsidRPr="00610226">
        <w:rPr>
          <w:rFonts w:ascii="Times New Roman" w:eastAsia="Times New Roman" w:hAnsi="Times New Roman" w:cs="Times New Roman"/>
          <w:color w:val="000000"/>
          <w:sz w:val="24"/>
          <w:szCs w:val="24"/>
          <w:highlight w:val="white"/>
        </w:rPr>
        <w:t>performance[</w:t>
      </w:r>
      <w:proofErr w:type="gramEnd"/>
      <w:r w:rsidRPr="00610226">
        <w:rPr>
          <w:rFonts w:ascii="Times New Roman" w:eastAsia="Times New Roman" w:hAnsi="Times New Roman" w:cs="Times New Roman"/>
          <w:color w:val="000000"/>
          <w:sz w:val="24"/>
          <w:szCs w:val="24"/>
          <w:highlight w:val="white"/>
        </w:rPr>
        <w:t>4]. Based on these results, we propose the possibility of obtaining LiNiO</w:t>
      </w:r>
      <w:r w:rsidRPr="00610226">
        <w:rPr>
          <w:rFonts w:ascii="Times New Roman" w:eastAsia="Times New Roman" w:hAnsi="Times New Roman" w:cs="Times New Roman"/>
          <w:color w:val="000000"/>
          <w:sz w:val="24"/>
          <w:szCs w:val="24"/>
          <w:highlight w:val="white"/>
          <w:vertAlign w:val="subscript"/>
        </w:rPr>
        <w:t xml:space="preserve">2 </w:t>
      </w:r>
      <w:r w:rsidRPr="00610226">
        <w:rPr>
          <w:rFonts w:ascii="Times New Roman" w:eastAsia="Times New Roman" w:hAnsi="Times New Roman" w:cs="Times New Roman"/>
          <w:color w:val="000000"/>
          <w:sz w:val="24"/>
          <w:szCs w:val="24"/>
          <w:highlight w:val="white"/>
        </w:rPr>
        <w:t>cathode material with enhanced electrochemical performance through direct control of the precursor (α- or β-</w:t>
      </w:r>
      <w:proofErr w:type="gramStart"/>
      <w:r w:rsidRPr="00610226">
        <w:rPr>
          <w:rFonts w:ascii="Times New Roman" w:eastAsia="Times New Roman" w:hAnsi="Times New Roman" w:cs="Times New Roman"/>
          <w:color w:val="000000"/>
          <w:sz w:val="24"/>
          <w:szCs w:val="24"/>
          <w:highlight w:val="white"/>
        </w:rPr>
        <w:t>Ni(</w:t>
      </w:r>
      <w:proofErr w:type="gramEnd"/>
      <w:r w:rsidRPr="00610226">
        <w:rPr>
          <w:rFonts w:ascii="Times New Roman" w:eastAsia="Times New Roman" w:hAnsi="Times New Roman" w:cs="Times New Roman"/>
          <w:color w:val="000000"/>
          <w:sz w:val="24"/>
          <w:szCs w:val="24"/>
          <w:highlight w:val="white"/>
        </w:rPr>
        <w:t>OH)</w:t>
      </w:r>
      <w:r w:rsidRPr="00610226">
        <w:rPr>
          <w:rFonts w:ascii="Times New Roman" w:eastAsia="Times New Roman" w:hAnsi="Times New Roman" w:cs="Times New Roman"/>
          <w:color w:val="000000"/>
          <w:sz w:val="24"/>
          <w:szCs w:val="24"/>
          <w:highlight w:val="white"/>
          <w:vertAlign w:val="subscript"/>
        </w:rPr>
        <w:t>2</w:t>
      </w:r>
      <w:r w:rsidRPr="00610226">
        <w:rPr>
          <w:rFonts w:ascii="Times New Roman" w:eastAsia="Times New Roman" w:hAnsi="Times New Roman" w:cs="Times New Roman"/>
          <w:color w:val="000000"/>
          <w:sz w:val="24"/>
          <w:szCs w:val="24"/>
          <w:highlight w:val="white"/>
        </w:rPr>
        <w:t>) crystal structure. It also includes the development and optimization of synthesis conditions, characterization of crystal structure and morphology, optimization of lithiation conditions, and correlation of synthesis parameters with material performance. The obtained polycrystalline samples were investigated by powder X-ray diffraction (PXRD), scanning and transmission electron microscopy (SEM, TEM).</w:t>
      </w:r>
    </w:p>
    <w:p w14:paraId="0000000A" w14:textId="77777777" w:rsidR="00BA390E" w:rsidRPr="00CE33FA" w:rsidRDefault="00000000" w:rsidP="00610226">
      <w:pPr>
        <w:pStyle w:val="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0" w:line="240" w:lineRule="auto"/>
        <w:ind w:firstLine="397"/>
        <w:jc w:val="both"/>
        <w:rPr>
          <w:rFonts w:ascii="Times New Roman" w:eastAsia="Times New Roman" w:hAnsi="Times New Roman" w:cs="Times New Roman"/>
          <w:i/>
          <w:iCs/>
          <w:sz w:val="24"/>
          <w:szCs w:val="24"/>
          <w:highlight w:val="white"/>
        </w:rPr>
      </w:pPr>
      <w:bookmarkStart w:id="0" w:name="_q3qxcgwmlvue" w:colFirst="0" w:colLast="0"/>
      <w:bookmarkEnd w:id="0"/>
      <w:r w:rsidRPr="00CE33FA">
        <w:rPr>
          <w:rFonts w:ascii="Times New Roman" w:eastAsia="Times New Roman" w:hAnsi="Times New Roman" w:cs="Times New Roman"/>
          <w:i/>
          <w:iCs/>
          <w:sz w:val="24"/>
          <w:szCs w:val="24"/>
          <w:highlight w:val="white"/>
        </w:rPr>
        <w:t>The work was carried out with the support of RSF 23-73-30003.</w:t>
      </w:r>
    </w:p>
    <w:p w14:paraId="0000000F" w14:textId="77777777" w:rsidR="00BA390E" w:rsidRPr="00610226" w:rsidRDefault="00000000" w:rsidP="00CE33FA">
      <w:pPr>
        <w:pStyle w:val="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0" w:line="240" w:lineRule="auto"/>
        <w:jc w:val="center"/>
        <w:rPr>
          <w:rFonts w:ascii="Times New Roman" w:eastAsia="Times New Roman" w:hAnsi="Times New Roman" w:cs="Times New Roman"/>
          <w:b/>
          <w:sz w:val="24"/>
          <w:szCs w:val="26"/>
        </w:rPr>
      </w:pPr>
      <w:bookmarkStart w:id="1" w:name="_x6rimfewqd1q" w:colFirst="0" w:colLast="0"/>
      <w:bookmarkStart w:id="2" w:name="_epzxiu1bl8gu" w:colFirst="0" w:colLast="0"/>
      <w:bookmarkStart w:id="3" w:name="_jtihytlc0gni" w:colFirst="0" w:colLast="0"/>
      <w:bookmarkStart w:id="4" w:name="_ak103nng4b1r" w:colFirst="0" w:colLast="0"/>
      <w:bookmarkStart w:id="5" w:name="_w2safml2o4ux" w:colFirst="0" w:colLast="0"/>
      <w:bookmarkEnd w:id="1"/>
      <w:bookmarkEnd w:id="2"/>
      <w:bookmarkEnd w:id="3"/>
      <w:bookmarkEnd w:id="4"/>
      <w:bookmarkEnd w:id="5"/>
      <w:r w:rsidRPr="00610226">
        <w:rPr>
          <w:rFonts w:ascii="Times New Roman" w:eastAsia="Times New Roman" w:hAnsi="Times New Roman" w:cs="Times New Roman"/>
          <w:b/>
          <w:sz w:val="24"/>
          <w:szCs w:val="26"/>
        </w:rPr>
        <w:t>References</w:t>
      </w:r>
    </w:p>
    <w:p w14:paraId="00000010" w14:textId="2CDE028A" w:rsidR="00BA390E" w:rsidRDefault="00437310" w:rsidP="0043731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1. </w:t>
      </w:r>
      <w:r w:rsidR="00000000">
        <w:rPr>
          <w:rFonts w:ascii="Times New Roman" w:eastAsia="Times New Roman" w:hAnsi="Times New Roman" w:cs="Times New Roman"/>
          <w:color w:val="222222"/>
          <w:sz w:val="24"/>
          <w:szCs w:val="24"/>
          <w:highlight w:val="white"/>
        </w:rPr>
        <w:t xml:space="preserve">Abakumov, A.M., Fedotov, S.S., Antipov, E.V. and </w:t>
      </w:r>
      <w:proofErr w:type="spellStart"/>
      <w:r w:rsidR="00000000">
        <w:rPr>
          <w:rFonts w:ascii="Times New Roman" w:eastAsia="Times New Roman" w:hAnsi="Times New Roman" w:cs="Times New Roman"/>
          <w:color w:val="222222"/>
          <w:sz w:val="24"/>
          <w:szCs w:val="24"/>
          <w:highlight w:val="white"/>
        </w:rPr>
        <w:t>Tarascon</w:t>
      </w:r>
      <w:proofErr w:type="spellEnd"/>
      <w:r w:rsidR="00000000">
        <w:rPr>
          <w:rFonts w:ascii="Times New Roman" w:eastAsia="Times New Roman" w:hAnsi="Times New Roman" w:cs="Times New Roman"/>
          <w:color w:val="222222"/>
          <w:sz w:val="24"/>
          <w:szCs w:val="24"/>
          <w:highlight w:val="white"/>
        </w:rPr>
        <w:t xml:space="preserve">, J.M., 2020. Solid state chemistry for developing better metal-ion batteries. </w:t>
      </w:r>
      <w:r w:rsidR="00000000">
        <w:rPr>
          <w:rFonts w:ascii="Times New Roman" w:eastAsia="Times New Roman" w:hAnsi="Times New Roman" w:cs="Times New Roman"/>
          <w:i/>
          <w:color w:val="222222"/>
          <w:sz w:val="24"/>
          <w:szCs w:val="24"/>
          <w:highlight w:val="white"/>
        </w:rPr>
        <w:t>Nature Communications</w:t>
      </w:r>
      <w:r w:rsidR="00000000">
        <w:rPr>
          <w:rFonts w:ascii="Times New Roman" w:eastAsia="Times New Roman" w:hAnsi="Times New Roman" w:cs="Times New Roman"/>
          <w:color w:val="222222"/>
          <w:sz w:val="24"/>
          <w:szCs w:val="24"/>
          <w:highlight w:val="white"/>
        </w:rPr>
        <w:t xml:space="preserve">, </w:t>
      </w:r>
      <w:r w:rsidR="00000000">
        <w:rPr>
          <w:rFonts w:ascii="Times New Roman" w:eastAsia="Times New Roman" w:hAnsi="Times New Roman" w:cs="Times New Roman"/>
          <w:i/>
          <w:color w:val="222222"/>
          <w:sz w:val="24"/>
          <w:szCs w:val="24"/>
          <w:highlight w:val="white"/>
        </w:rPr>
        <w:t>11</w:t>
      </w:r>
      <w:r w:rsidR="00000000">
        <w:rPr>
          <w:rFonts w:ascii="Times New Roman" w:eastAsia="Times New Roman" w:hAnsi="Times New Roman" w:cs="Times New Roman"/>
          <w:color w:val="222222"/>
          <w:sz w:val="24"/>
          <w:szCs w:val="24"/>
          <w:highlight w:val="white"/>
        </w:rPr>
        <w:t>(1), p.4976.</w:t>
      </w:r>
    </w:p>
    <w:p w14:paraId="00000012" w14:textId="1F2C38B3" w:rsidR="00BA390E" w:rsidRDefault="00437310" w:rsidP="0043731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2. </w:t>
      </w:r>
      <w:proofErr w:type="spellStart"/>
      <w:r w:rsidR="00000000">
        <w:rPr>
          <w:rFonts w:ascii="Times New Roman" w:eastAsia="Times New Roman" w:hAnsi="Times New Roman" w:cs="Times New Roman"/>
          <w:color w:val="222222"/>
          <w:sz w:val="24"/>
          <w:szCs w:val="24"/>
          <w:highlight w:val="white"/>
        </w:rPr>
        <w:t>Chikkannanavar</w:t>
      </w:r>
      <w:proofErr w:type="spellEnd"/>
      <w:r w:rsidR="00000000">
        <w:rPr>
          <w:rFonts w:ascii="Times New Roman" w:eastAsia="Times New Roman" w:hAnsi="Times New Roman" w:cs="Times New Roman"/>
          <w:color w:val="222222"/>
          <w:sz w:val="24"/>
          <w:szCs w:val="24"/>
          <w:highlight w:val="white"/>
        </w:rPr>
        <w:t xml:space="preserve">, S.B., Bernardi, D.M. and Liu, L., 2014. A review of blended cathode materials for use in Li-ion batteries. </w:t>
      </w:r>
      <w:r w:rsidR="00000000">
        <w:rPr>
          <w:rFonts w:ascii="Times New Roman" w:eastAsia="Times New Roman" w:hAnsi="Times New Roman" w:cs="Times New Roman"/>
          <w:i/>
          <w:color w:val="222222"/>
          <w:sz w:val="24"/>
          <w:szCs w:val="24"/>
          <w:highlight w:val="white"/>
        </w:rPr>
        <w:t>Journal of Power Sources</w:t>
      </w:r>
      <w:r w:rsidR="00000000">
        <w:rPr>
          <w:rFonts w:ascii="Times New Roman" w:eastAsia="Times New Roman" w:hAnsi="Times New Roman" w:cs="Times New Roman"/>
          <w:color w:val="222222"/>
          <w:sz w:val="24"/>
          <w:szCs w:val="24"/>
          <w:highlight w:val="white"/>
        </w:rPr>
        <w:t xml:space="preserve">, </w:t>
      </w:r>
      <w:r w:rsidR="00000000">
        <w:rPr>
          <w:rFonts w:ascii="Times New Roman" w:eastAsia="Times New Roman" w:hAnsi="Times New Roman" w:cs="Times New Roman"/>
          <w:i/>
          <w:color w:val="222222"/>
          <w:sz w:val="24"/>
          <w:szCs w:val="24"/>
          <w:highlight w:val="white"/>
        </w:rPr>
        <w:t>248</w:t>
      </w:r>
      <w:r w:rsidR="00000000">
        <w:rPr>
          <w:rFonts w:ascii="Times New Roman" w:eastAsia="Times New Roman" w:hAnsi="Times New Roman" w:cs="Times New Roman"/>
          <w:color w:val="222222"/>
          <w:sz w:val="24"/>
          <w:szCs w:val="24"/>
          <w:highlight w:val="white"/>
        </w:rPr>
        <w:t>, pp.91-100.</w:t>
      </w:r>
    </w:p>
    <w:p w14:paraId="00000014" w14:textId="58A5C29B" w:rsidR="00BA390E" w:rsidRDefault="00437310" w:rsidP="0043731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3. </w:t>
      </w:r>
      <w:proofErr w:type="spellStart"/>
      <w:r w:rsidR="00000000">
        <w:rPr>
          <w:rFonts w:ascii="Times New Roman" w:eastAsia="Times New Roman" w:hAnsi="Times New Roman" w:cs="Times New Roman"/>
          <w:color w:val="222222"/>
          <w:sz w:val="24"/>
          <w:szCs w:val="24"/>
          <w:highlight w:val="white"/>
        </w:rPr>
        <w:t>Shaqsi</w:t>
      </w:r>
      <w:proofErr w:type="spellEnd"/>
      <w:r w:rsidR="00000000">
        <w:rPr>
          <w:rFonts w:ascii="Times New Roman" w:eastAsia="Times New Roman" w:hAnsi="Times New Roman" w:cs="Times New Roman"/>
          <w:color w:val="222222"/>
          <w:sz w:val="24"/>
          <w:szCs w:val="24"/>
          <w:highlight w:val="white"/>
        </w:rPr>
        <w:t xml:space="preserve">, A.Z.A., </w:t>
      </w:r>
      <w:proofErr w:type="spellStart"/>
      <w:r w:rsidR="00000000">
        <w:rPr>
          <w:rFonts w:ascii="Times New Roman" w:eastAsia="Times New Roman" w:hAnsi="Times New Roman" w:cs="Times New Roman"/>
          <w:color w:val="222222"/>
          <w:sz w:val="24"/>
          <w:szCs w:val="24"/>
          <w:highlight w:val="white"/>
        </w:rPr>
        <w:t>Sopian</w:t>
      </w:r>
      <w:proofErr w:type="spellEnd"/>
      <w:r w:rsidR="00000000">
        <w:rPr>
          <w:rFonts w:ascii="Times New Roman" w:eastAsia="Times New Roman" w:hAnsi="Times New Roman" w:cs="Times New Roman"/>
          <w:color w:val="222222"/>
          <w:sz w:val="24"/>
          <w:szCs w:val="24"/>
          <w:highlight w:val="white"/>
        </w:rPr>
        <w:t xml:space="preserve">, K. and Al-Hinai, A., 2020. Review of energy storage services, applications, limitations, and benefits. </w:t>
      </w:r>
      <w:r w:rsidR="00000000">
        <w:rPr>
          <w:rFonts w:ascii="Times New Roman" w:eastAsia="Times New Roman" w:hAnsi="Times New Roman" w:cs="Times New Roman"/>
          <w:i/>
          <w:color w:val="222222"/>
          <w:sz w:val="24"/>
          <w:szCs w:val="24"/>
          <w:highlight w:val="white"/>
        </w:rPr>
        <w:t>Energy Reports</w:t>
      </w:r>
      <w:r w:rsidR="00000000">
        <w:rPr>
          <w:rFonts w:ascii="Times New Roman" w:eastAsia="Times New Roman" w:hAnsi="Times New Roman" w:cs="Times New Roman"/>
          <w:color w:val="222222"/>
          <w:sz w:val="24"/>
          <w:szCs w:val="24"/>
          <w:highlight w:val="white"/>
        </w:rPr>
        <w:t xml:space="preserve">, </w:t>
      </w:r>
      <w:r w:rsidR="00000000">
        <w:rPr>
          <w:rFonts w:ascii="Times New Roman" w:eastAsia="Times New Roman" w:hAnsi="Times New Roman" w:cs="Times New Roman"/>
          <w:i/>
          <w:color w:val="222222"/>
          <w:sz w:val="24"/>
          <w:szCs w:val="24"/>
          <w:highlight w:val="white"/>
        </w:rPr>
        <w:t>6</w:t>
      </w:r>
      <w:r w:rsidR="00000000">
        <w:rPr>
          <w:rFonts w:ascii="Times New Roman" w:eastAsia="Times New Roman" w:hAnsi="Times New Roman" w:cs="Times New Roman"/>
          <w:color w:val="222222"/>
          <w:sz w:val="24"/>
          <w:szCs w:val="24"/>
          <w:highlight w:val="white"/>
        </w:rPr>
        <w:t>, pp.288-306.</w:t>
      </w:r>
    </w:p>
    <w:p w14:paraId="00000016" w14:textId="754CB086" w:rsidR="00BA390E" w:rsidRDefault="00437310" w:rsidP="0043731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4. </w:t>
      </w:r>
      <w:r w:rsidR="00000000">
        <w:rPr>
          <w:rFonts w:ascii="Times New Roman" w:eastAsia="Times New Roman" w:hAnsi="Times New Roman" w:cs="Times New Roman"/>
          <w:color w:val="222222"/>
          <w:sz w:val="24"/>
          <w:szCs w:val="24"/>
          <w:highlight w:val="white"/>
        </w:rPr>
        <w:t xml:space="preserve">Xu, L., Zhou, F., Kong, J., Zhou, H., Zhang, Q., Wang, Q. and Yan, G., 2018. Influence of precursor phase on the structure and electrochemical properties of </w:t>
      </w:r>
      <w:proofErr w:type="gramStart"/>
      <w:r w:rsidR="00000000">
        <w:rPr>
          <w:rFonts w:ascii="Times New Roman" w:eastAsia="Times New Roman" w:hAnsi="Times New Roman" w:cs="Times New Roman"/>
          <w:color w:val="222222"/>
          <w:sz w:val="24"/>
          <w:szCs w:val="24"/>
          <w:highlight w:val="white"/>
        </w:rPr>
        <w:t>Li(</w:t>
      </w:r>
      <w:proofErr w:type="gramEnd"/>
      <w:r w:rsidR="00000000">
        <w:rPr>
          <w:rFonts w:ascii="Times New Roman" w:eastAsia="Times New Roman" w:hAnsi="Times New Roman" w:cs="Times New Roman"/>
          <w:color w:val="222222"/>
          <w:sz w:val="24"/>
          <w:szCs w:val="24"/>
          <w:highlight w:val="white"/>
        </w:rPr>
        <w:t>Ni</w:t>
      </w:r>
      <w:r w:rsidR="00000000" w:rsidRPr="00437310">
        <w:rPr>
          <w:rFonts w:ascii="Times New Roman" w:eastAsia="Times New Roman" w:hAnsi="Times New Roman" w:cs="Times New Roman"/>
          <w:color w:val="222222"/>
          <w:sz w:val="24"/>
          <w:szCs w:val="24"/>
          <w:highlight w:val="white"/>
          <w:vertAlign w:val="subscript"/>
        </w:rPr>
        <w:t>0.6</w:t>
      </w:r>
      <w:r w:rsidR="00000000">
        <w:rPr>
          <w:rFonts w:ascii="Times New Roman" w:eastAsia="Times New Roman" w:hAnsi="Times New Roman" w:cs="Times New Roman"/>
          <w:color w:val="222222"/>
          <w:sz w:val="24"/>
          <w:szCs w:val="24"/>
          <w:highlight w:val="white"/>
        </w:rPr>
        <w:t>Mn</w:t>
      </w:r>
      <w:r w:rsidR="00000000" w:rsidRPr="00437310">
        <w:rPr>
          <w:rFonts w:ascii="Times New Roman" w:eastAsia="Times New Roman" w:hAnsi="Times New Roman" w:cs="Times New Roman"/>
          <w:color w:val="222222"/>
          <w:sz w:val="24"/>
          <w:szCs w:val="24"/>
          <w:highlight w:val="white"/>
          <w:vertAlign w:val="subscript"/>
        </w:rPr>
        <w:t>0.2</w:t>
      </w:r>
      <w:r w:rsidR="00000000">
        <w:rPr>
          <w:rFonts w:ascii="Times New Roman" w:eastAsia="Times New Roman" w:hAnsi="Times New Roman" w:cs="Times New Roman"/>
          <w:color w:val="222222"/>
          <w:sz w:val="24"/>
          <w:szCs w:val="24"/>
          <w:highlight w:val="white"/>
        </w:rPr>
        <w:t>Co</w:t>
      </w:r>
      <w:r w:rsidR="00000000" w:rsidRPr="00437310">
        <w:rPr>
          <w:rFonts w:ascii="Times New Roman" w:eastAsia="Times New Roman" w:hAnsi="Times New Roman" w:cs="Times New Roman"/>
          <w:color w:val="222222"/>
          <w:sz w:val="24"/>
          <w:szCs w:val="24"/>
          <w:highlight w:val="white"/>
          <w:vertAlign w:val="subscript"/>
        </w:rPr>
        <w:t>0.2</w:t>
      </w:r>
      <w:r w:rsidR="00000000">
        <w:rPr>
          <w:rFonts w:ascii="Times New Roman" w:eastAsia="Times New Roman" w:hAnsi="Times New Roman" w:cs="Times New Roman"/>
          <w:color w:val="222222"/>
          <w:sz w:val="24"/>
          <w:szCs w:val="24"/>
          <w:highlight w:val="white"/>
        </w:rPr>
        <w:t>)O</w:t>
      </w:r>
      <w:r w:rsidR="00000000" w:rsidRPr="00437310">
        <w:rPr>
          <w:rFonts w:ascii="Times New Roman" w:eastAsia="Times New Roman" w:hAnsi="Times New Roman" w:cs="Times New Roman"/>
          <w:color w:val="222222"/>
          <w:sz w:val="24"/>
          <w:szCs w:val="24"/>
          <w:highlight w:val="white"/>
          <w:vertAlign w:val="subscript"/>
        </w:rPr>
        <w:t>2</w:t>
      </w:r>
      <w:r w:rsidR="00000000">
        <w:rPr>
          <w:rFonts w:ascii="Times New Roman" w:eastAsia="Times New Roman" w:hAnsi="Times New Roman" w:cs="Times New Roman"/>
          <w:color w:val="222222"/>
          <w:sz w:val="24"/>
          <w:szCs w:val="24"/>
          <w:highlight w:val="white"/>
        </w:rPr>
        <w:t xml:space="preserve"> cathode materials. </w:t>
      </w:r>
      <w:r w:rsidR="00000000">
        <w:rPr>
          <w:rFonts w:ascii="Times New Roman" w:eastAsia="Times New Roman" w:hAnsi="Times New Roman" w:cs="Times New Roman"/>
          <w:i/>
          <w:color w:val="222222"/>
          <w:sz w:val="24"/>
          <w:szCs w:val="24"/>
          <w:highlight w:val="white"/>
        </w:rPr>
        <w:t>Solid State Ionics</w:t>
      </w:r>
      <w:r w:rsidR="00000000">
        <w:rPr>
          <w:rFonts w:ascii="Times New Roman" w:eastAsia="Times New Roman" w:hAnsi="Times New Roman" w:cs="Times New Roman"/>
          <w:color w:val="222222"/>
          <w:sz w:val="24"/>
          <w:szCs w:val="24"/>
          <w:highlight w:val="white"/>
        </w:rPr>
        <w:t xml:space="preserve">, </w:t>
      </w:r>
      <w:r w:rsidR="00000000">
        <w:rPr>
          <w:rFonts w:ascii="Times New Roman" w:eastAsia="Times New Roman" w:hAnsi="Times New Roman" w:cs="Times New Roman"/>
          <w:i/>
          <w:color w:val="222222"/>
          <w:sz w:val="24"/>
          <w:szCs w:val="24"/>
          <w:highlight w:val="white"/>
        </w:rPr>
        <w:t>324</w:t>
      </w:r>
      <w:r w:rsidR="00000000">
        <w:rPr>
          <w:rFonts w:ascii="Times New Roman" w:eastAsia="Times New Roman" w:hAnsi="Times New Roman" w:cs="Times New Roman"/>
          <w:color w:val="222222"/>
          <w:sz w:val="24"/>
          <w:szCs w:val="24"/>
          <w:highlight w:val="white"/>
        </w:rPr>
        <w:t>, pp.49-58.</w:t>
      </w:r>
    </w:p>
    <w:sectPr w:rsidR="00BA390E">
      <w:pgSz w:w="11906" w:h="16838"/>
      <w:pgMar w:top="1133" w:right="1360" w:bottom="1133" w:left="1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A22AE"/>
    <w:multiLevelType w:val="multilevel"/>
    <w:tmpl w:val="62467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407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0E"/>
    <w:rsid w:val="00437310"/>
    <w:rsid w:val="00610226"/>
    <w:rsid w:val="00907C44"/>
    <w:rsid w:val="00BA390E"/>
    <w:rsid w:val="00C75943"/>
    <w:rsid w:val="00CE33FA"/>
    <w:rsid w:val="00E6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8408"/>
  <w15:docId w15:val="{D304239B-53BB-41F4-BF82-3D8FE910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437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jpowsour.2013.09.052" TargetMode="External"/><Relationship Id="rId5" Type="http://schemas.openxmlformats.org/officeDocument/2006/relationships/hyperlink" Target="https://doi.org/10.1038/s41467-020-1873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499</Words>
  <Characters>2848</Characters>
  <Application>Microsoft Office Word</Application>
  <DocSecurity>0</DocSecurity>
  <Lines>23</Lines>
  <Paragraphs>6</Paragraphs>
  <ScaleCrop>false</ScaleCrop>
  <Company>Krokoz™</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Chernoukhov</cp:lastModifiedBy>
  <cp:revision>5</cp:revision>
  <dcterms:created xsi:type="dcterms:W3CDTF">2024-03-21T13:04:00Z</dcterms:created>
  <dcterms:modified xsi:type="dcterms:W3CDTF">2024-03-21T13:07:00Z</dcterms:modified>
</cp:coreProperties>
</file>