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9084" w14:textId="77777777" w:rsidR="003C716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</w:rPr>
        <w:t>Фазовый переход в жидком кристалле 5СВ</w:t>
      </w:r>
    </w:p>
    <w:p w14:paraId="5991F683" w14:textId="20283D0C" w:rsidR="003C7162" w:rsidRPr="00275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bCs/>
          <w:i/>
          <w:color w:val="000000"/>
        </w:rPr>
      </w:pPr>
      <w:proofErr w:type="spellStart"/>
      <w:r w:rsidRPr="00275D1E">
        <w:rPr>
          <w:b/>
          <w:i/>
          <w:color w:val="000000"/>
        </w:rPr>
        <w:t>Касапенко</w:t>
      </w:r>
      <w:proofErr w:type="spellEnd"/>
      <w:r w:rsidRPr="00275D1E">
        <w:rPr>
          <w:b/>
          <w:i/>
          <w:color w:val="000000"/>
        </w:rPr>
        <w:t xml:space="preserve"> Н.А.</w:t>
      </w:r>
      <w:r w:rsidRPr="00275D1E">
        <w:rPr>
          <w:b/>
          <w:i/>
          <w:color w:val="000000"/>
          <w:vertAlign w:val="superscript"/>
        </w:rPr>
        <w:t>1,2</w:t>
      </w:r>
      <w:r w:rsidRPr="00275D1E">
        <w:rPr>
          <w:b/>
          <w:i/>
          <w:color w:val="000000"/>
        </w:rPr>
        <w:t>, Кондратюк Н.Д.</w:t>
      </w:r>
      <w:r w:rsidRPr="00275D1E">
        <w:rPr>
          <w:b/>
          <w:i/>
          <w:color w:val="000000"/>
          <w:vertAlign w:val="superscript"/>
        </w:rPr>
        <w:t>1,2</w:t>
      </w:r>
    </w:p>
    <w:p w14:paraId="2CD7E11E" w14:textId="77777777" w:rsidR="00275D1E" w:rsidRPr="00275D1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i/>
          <w:color w:val="000000"/>
        </w:rPr>
      </w:pPr>
      <w:r w:rsidRPr="00275D1E">
        <w:rPr>
          <w:i/>
          <w:color w:val="000000"/>
        </w:rPr>
        <w:t>Студент, 1 курс магистратуры</w:t>
      </w:r>
    </w:p>
    <w:p w14:paraId="39064957" w14:textId="7F271758" w:rsidR="003C7162" w:rsidRPr="00275D1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color w:val="000000"/>
        </w:rPr>
      </w:pPr>
      <w:r w:rsidRPr="00275D1E">
        <w:rPr>
          <w:i/>
          <w:color w:val="000000"/>
          <w:vertAlign w:val="superscript"/>
        </w:rPr>
        <w:t>1</w:t>
      </w:r>
      <w:r w:rsidRPr="00275D1E">
        <w:rPr>
          <w:i/>
          <w:color w:val="000000"/>
        </w:rPr>
        <w:t>Московский физико-технический институт</w:t>
      </w:r>
      <w:r w:rsidR="00275D1E" w:rsidRPr="00275D1E">
        <w:rPr>
          <w:i/>
          <w:color w:val="000000"/>
        </w:rPr>
        <w:br/>
      </w:r>
      <w:r w:rsidRPr="00275D1E">
        <w:rPr>
          <w:i/>
          <w:color w:val="000000"/>
        </w:rPr>
        <w:t>физтех-школа ЛФИ, Долгопрудный, Россия</w:t>
      </w:r>
    </w:p>
    <w:p w14:paraId="413862AD" w14:textId="77777777" w:rsidR="003C71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</w:rPr>
        <w:t>Объединённый институт высоких температур РАН</w:t>
      </w:r>
      <w:r>
        <w:rPr>
          <w:i/>
          <w:color w:val="000000"/>
        </w:rPr>
        <w:t xml:space="preserve">, </w:t>
      </w:r>
      <w:r>
        <w:rPr>
          <w:i/>
        </w:rPr>
        <w:t>Москва</w:t>
      </w:r>
      <w:r>
        <w:rPr>
          <w:i/>
          <w:color w:val="000000"/>
        </w:rPr>
        <w:t>, Россия</w:t>
      </w:r>
    </w:p>
    <w:p w14:paraId="31FB41CE" w14:textId="77777777" w:rsidR="00275D1E" w:rsidRPr="00275D1E" w:rsidRDefault="00275D1E" w:rsidP="00275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275D1E">
        <w:rPr>
          <w:i/>
          <w:color w:val="000000"/>
          <w:u w:val="single"/>
          <w:lang w:val="en-US"/>
        </w:rPr>
        <w:t>kasapenko.na@phystech.edu</w:t>
      </w:r>
    </w:p>
    <w:p w14:paraId="2C1ADECD" w14:textId="19B78F25" w:rsidR="003C716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t xml:space="preserve">Для численного моделирования диффузии фоточувствительной молекулы мотора в </w:t>
      </w:r>
      <w:proofErr w:type="spellStart"/>
      <w:r>
        <w:t>нематическом</w:t>
      </w:r>
      <w:proofErr w:type="spellEnd"/>
      <w:r>
        <w:t xml:space="preserve"> жидком кристалле по мотивам экспериментальной работы [1], была поставлена задача получения </w:t>
      </w:r>
      <w:proofErr w:type="spellStart"/>
      <w:r>
        <w:t>нематической</w:t>
      </w:r>
      <w:proofErr w:type="spellEnd"/>
      <w:r>
        <w:t xml:space="preserve"> фазы на примере молекулы 5CB. Исследование транспортных свойств жидких кристаллов и молекул-моторов, в них помещенных, представляет интерес для управления молекулярными машинами. В методе молекулярной динамики была создана вычислительная ячейка, состоящая из 1100 молекул жидкокристаллического соединения 5СВ, находящегося в изотропной фазе при температуре 300 К. В NPT-ансамбле в течение 1.8 мкс рассчитывалась динамика системы с использованием потенциала GAFF. Для определения фазы жидкого кристалла параметр порядка системы вычислялся как собственное значение, соответствующее максимальному собственному вектору ориентационной матрицы:</w:t>
      </w:r>
    </w:p>
    <w:p w14:paraId="1DE23637" w14:textId="3ECA9BA4" w:rsidR="003C7162" w:rsidRPr="00275D1E" w:rsidRDefault="00000000" w:rsidP="008216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center"/>
        <w:rPr>
          <w:color w:val="000000"/>
        </w:rPr>
      </w:pPr>
      <m:oMath>
        <m:sSub>
          <m:sSubPr>
            <m:ctrlPr>
              <w:rPr>
                <w:color w:val="000000"/>
              </w:rPr>
            </m:ctrlPr>
          </m:sSubPr>
          <m:e>
            <m:r>
              <w:rPr>
                <w:rFonts w:eastAsia="Cambria Math"/>
                <w:color w:val="000000"/>
              </w:rPr>
              <m:t>Q</m:t>
            </m:r>
          </m:e>
          <m:sub>
            <m:r>
              <w:rPr>
                <w:rFonts w:eastAsia="Cambria Math"/>
                <w:color w:val="000000"/>
              </w:rPr>
              <m:t>ab</m:t>
            </m:r>
          </m:sub>
        </m:sSub>
        <m:r>
          <w:rPr>
            <w:rFonts w:eastAsia="Cambria Math"/>
            <w:color w:val="000000"/>
          </w:rPr>
          <m:t>=&lt;</m:t>
        </m:r>
        <m:f>
          <m:fPr>
            <m:ctrlPr>
              <w:rPr>
                <w:rFonts w:eastAsia="Cambria Math"/>
                <w:i/>
                <w:color w:val="000000"/>
              </w:rPr>
            </m:ctrlPr>
          </m:fPr>
          <m:num>
            <m:r>
              <w:rPr>
                <w:rFonts w:eastAsia="Cambria Math"/>
                <w:color w:val="000000"/>
              </w:rPr>
              <m:t>1</m:t>
            </m:r>
          </m:num>
          <m:den>
            <m:r>
              <w:rPr>
                <w:rFonts w:eastAsia="Cambria Math"/>
                <w:color w:val="000000"/>
              </w:rPr>
              <m:t>2</m:t>
            </m:r>
          </m:den>
        </m:f>
        <m:r>
          <w:rPr>
            <w:rFonts w:eastAsia="Cambria Math"/>
            <w:color w:val="000000"/>
          </w:rPr>
          <m:t>(3</m:t>
        </m:r>
        <m:sSub>
          <m:sSubPr>
            <m:ctrlPr>
              <w:rPr>
                <w:rFonts w:eastAsia="Cambria Math"/>
                <w:i/>
                <w:color w:val="000000"/>
              </w:rPr>
            </m:ctrlPr>
          </m:sSubPr>
          <m:e>
            <m:r>
              <w:rPr>
                <w:rFonts w:eastAsia="Cambria Math"/>
                <w:color w:val="000000"/>
              </w:rPr>
              <m:t>u</m:t>
            </m:r>
          </m:e>
          <m:sub>
            <m:r>
              <w:rPr>
                <w:rFonts w:eastAsia="Cambria Math"/>
                <w:color w:val="000000"/>
              </w:rPr>
              <m:t>a</m:t>
            </m:r>
          </m:sub>
        </m:sSub>
        <m:sSub>
          <m:sSubPr>
            <m:ctrlPr>
              <w:rPr>
                <w:color w:val="000000"/>
              </w:rPr>
            </m:ctrlPr>
          </m:sSubPr>
          <m:e>
            <m:r>
              <w:rPr>
                <w:rFonts w:eastAsia="Cambria Math"/>
                <w:color w:val="000000"/>
              </w:rPr>
              <m:t>u</m:t>
            </m:r>
          </m:e>
          <m:sub>
            <m:r>
              <w:rPr>
                <w:rFonts w:eastAsia="Cambria Math"/>
                <w:color w:val="000000"/>
              </w:rPr>
              <m:t>b</m:t>
            </m:r>
          </m:sub>
        </m:sSub>
        <m:r>
          <w:rPr>
            <w:color w:val="000000"/>
          </w:rPr>
          <m:t>–</m:t>
        </m:r>
        <m:sSub>
          <m:sSubPr>
            <m:ctrlPr>
              <w:rPr>
                <w:rFonts w:eastAsia="Cambria Math"/>
                <w:i/>
                <w:color w:val="000000"/>
              </w:rPr>
            </m:ctrlPr>
          </m:sSubPr>
          <m:e>
            <m:r>
              <w:rPr>
                <w:rFonts w:eastAsia="Cambria Math"/>
                <w:color w:val="000000"/>
              </w:rPr>
              <m:t>δ</m:t>
            </m:r>
          </m:e>
          <m:sub>
            <m:r>
              <w:rPr>
                <w:rFonts w:eastAsia="Cambria Math"/>
                <w:color w:val="000000"/>
              </w:rPr>
              <m:t>ab</m:t>
            </m:r>
          </m:sub>
        </m:sSub>
        <m:r>
          <w:rPr>
            <w:rFonts w:eastAsia="Cambria Math"/>
            <w:color w:val="000000"/>
          </w:rPr>
          <m:t>)&gt;</m:t>
        </m:r>
      </m:oMath>
      <w:r w:rsidRPr="00275D1E">
        <w:rPr>
          <w:color w:val="000000"/>
        </w:rPr>
        <w:tab/>
        <w:t>(1)</w:t>
      </w:r>
    </w:p>
    <w:p w14:paraId="0A46AA5C" w14:textId="77777777" w:rsidR="003C7162" w:rsidRPr="00275D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 w:rsidRPr="00275D1E">
        <w:rPr>
          <w:color w:val="000000"/>
        </w:rPr>
        <w:t xml:space="preserve">где вектор </w:t>
      </w:r>
      <m:oMath>
        <m:acc>
          <m:accPr>
            <m:chr m:val="⃗"/>
            <m:ctrlPr>
              <w:rPr>
                <w:color w:val="000000"/>
              </w:rPr>
            </m:ctrlPr>
          </m:accPr>
          <m:e>
            <m:r>
              <w:rPr>
                <w:rFonts w:eastAsia="Cambria Math"/>
                <w:color w:val="000000"/>
              </w:rPr>
              <m:t>u</m:t>
            </m:r>
          </m:e>
        </m:acc>
        <m:r>
          <w:rPr>
            <w:rFonts w:eastAsia="Cambria Math"/>
            <w:color w:val="000000"/>
          </w:rPr>
          <m:t>(</m:t>
        </m:r>
        <m:sSub>
          <m:sSubPr>
            <m:ctrlPr>
              <w:rPr>
                <w:rFonts w:eastAsia="Cambria Math"/>
                <w:i/>
                <w:color w:val="000000"/>
              </w:rPr>
            </m:ctrlPr>
          </m:sSubPr>
          <m:e>
            <m:r>
              <w:rPr>
                <w:rFonts w:eastAsia="Cambria Math"/>
                <w:color w:val="000000"/>
              </w:rPr>
              <m:t>u</m:t>
            </m:r>
          </m:e>
          <m:sub>
            <m:r>
              <w:rPr>
                <w:rFonts w:eastAsia="Cambria Math"/>
                <w:color w:val="000000"/>
              </w:rPr>
              <m:t>x</m:t>
            </m:r>
          </m:sub>
        </m:sSub>
        <m:r>
          <w:rPr>
            <w:rFonts w:eastAsia="Cambria Math"/>
            <w:color w:val="000000"/>
          </w:rPr>
          <m:t xml:space="preserve">, </m:t>
        </m:r>
        <m:sSub>
          <m:sSubPr>
            <m:ctrlPr>
              <w:rPr>
                <w:rFonts w:eastAsia="Cambria Math"/>
                <w:i/>
                <w:color w:val="000000"/>
              </w:rPr>
            </m:ctrlPr>
          </m:sSubPr>
          <m:e>
            <m:r>
              <w:rPr>
                <w:rFonts w:eastAsia="Cambria Math"/>
                <w:color w:val="000000"/>
              </w:rPr>
              <m:t>u</m:t>
            </m:r>
          </m:e>
          <m:sub>
            <m:r>
              <w:rPr>
                <w:rFonts w:eastAsia="Cambria Math"/>
                <w:color w:val="000000"/>
              </w:rPr>
              <m:t>y</m:t>
            </m:r>
          </m:sub>
        </m:sSub>
        <m:r>
          <w:rPr>
            <w:rFonts w:eastAsia="Cambria Math"/>
            <w:color w:val="000000"/>
          </w:rPr>
          <m:t xml:space="preserve">, </m:t>
        </m:r>
        <m:sSub>
          <m:sSubPr>
            <m:ctrlPr>
              <w:rPr>
                <w:rFonts w:eastAsia="Cambria Math"/>
                <w:i/>
                <w:color w:val="000000"/>
              </w:rPr>
            </m:ctrlPr>
          </m:sSubPr>
          <m:e>
            <m:r>
              <w:rPr>
                <w:rFonts w:eastAsia="Cambria Math"/>
                <w:color w:val="000000"/>
              </w:rPr>
              <m:t>u</m:t>
            </m:r>
          </m:e>
          <m:sub>
            <m:r>
              <w:rPr>
                <w:rFonts w:eastAsia="Cambria Math"/>
                <w:color w:val="000000"/>
              </w:rPr>
              <m:t>z</m:t>
            </m:r>
          </m:sub>
        </m:sSub>
        <m:r>
          <w:rPr>
            <w:rFonts w:eastAsia="Cambria Math"/>
            <w:color w:val="000000"/>
          </w:rPr>
          <m:t>)</m:t>
        </m:r>
      </m:oMath>
      <w:r w:rsidRPr="00275D1E">
        <w:rPr>
          <w:color w:val="000000"/>
        </w:rPr>
        <w:t xml:space="preserve"> задает направление главной оси молекулы, а индексы </w:t>
      </w:r>
      <m:oMath>
        <m:r>
          <w:rPr>
            <w:rFonts w:eastAsia="Cambria Math"/>
            <w:color w:val="000000"/>
          </w:rPr>
          <m:t>a и b</m:t>
        </m:r>
      </m:oMath>
      <w:r w:rsidRPr="00275D1E">
        <w:rPr>
          <w:color w:val="000000"/>
        </w:rPr>
        <w:t xml:space="preserve"> принимают значения </w:t>
      </w:r>
      <m:oMath>
        <m:r>
          <w:rPr>
            <w:rFonts w:eastAsia="Cambria Math"/>
            <w:color w:val="000000"/>
          </w:rPr>
          <m:t>x</m:t>
        </m:r>
      </m:oMath>
      <w:r w:rsidRPr="00275D1E">
        <w:rPr>
          <w:color w:val="000000"/>
        </w:rPr>
        <w:t xml:space="preserve">, </w:t>
      </w:r>
      <m:oMath>
        <m:r>
          <w:rPr>
            <w:rFonts w:eastAsia="Cambria Math"/>
            <w:color w:val="000000"/>
          </w:rPr>
          <m:t>y</m:t>
        </m:r>
      </m:oMath>
      <w:r w:rsidRPr="00275D1E">
        <w:rPr>
          <w:color w:val="000000"/>
        </w:rPr>
        <w:t xml:space="preserve"> и </w:t>
      </w:r>
      <m:oMath>
        <m:r>
          <w:rPr>
            <w:rFonts w:eastAsia="Cambria Math"/>
            <w:color w:val="000000"/>
          </w:rPr>
          <m:t>z</m:t>
        </m:r>
      </m:oMath>
      <w:r w:rsidRPr="00275D1E">
        <w:rPr>
          <w:color w:val="000000"/>
        </w:rPr>
        <w:t>. При этом усреднение ведется по всем молекулам системы.</w:t>
      </w:r>
    </w:p>
    <w:p w14:paraId="0FD7EF43" w14:textId="1198477B" w:rsidR="00275D1E" w:rsidRDefault="008216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5D61B2" wp14:editId="510ED0AB">
            <wp:simplePos x="0" y="0"/>
            <wp:positionH relativeFrom="margin">
              <wp:align>center</wp:align>
            </wp:positionH>
            <wp:positionV relativeFrom="paragraph">
              <wp:posOffset>563022</wp:posOffset>
            </wp:positionV>
            <wp:extent cx="5331600" cy="2174400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779476" name="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331600" cy="217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275D1E">
        <w:rPr>
          <w:color w:val="000000"/>
        </w:rPr>
        <w:t xml:space="preserve">В ходе моделирования была получена </w:t>
      </w:r>
      <w:proofErr w:type="spellStart"/>
      <w:r w:rsidR="00000000" w:rsidRPr="00275D1E">
        <w:rPr>
          <w:color w:val="000000"/>
        </w:rPr>
        <w:t>нематическая</w:t>
      </w:r>
      <w:proofErr w:type="spellEnd"/>
      <w:r w:rsidR="00000000" w:rsidRPr="00275D1E">
        <w:rPr>
          <w:color w:val="000000"/>
        </w:rPr>
        <w:t xml:space="preserve"> фаза с параметром порядка 0.51, что хорошо согласуется с экспериментальными значениями 0.53–0.58 [2,3]. Наблюдаются небольшие флуктуации параметра порядка около значения 0.51 в течение 0.9 мкс.</w:t>
      </w:r>
    </w:p>
    <w:p w14:paraId="0314E9AF" w14:textId="04CEEE4A" w:rsidR="003C7162" w:rsidRDefault="00000000" w:rsidP="00275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t xml:space="preserve">Рис.1. </w:t>
      </w:r>
      <w:r>
        <w:rPr>
          <w:b/>
        </w:rPr>
        <w:t>А</w:t>
      </w:r>
      <w:r>
        <w:t xml:space="preserve"> Вычислительная ячейка в момент времени 1.2 мкс. Директор обозначен красным вектором; </w:t>
      </w:r>
      <w:r>
        <w:rPr>
          <w:b/>
        </w:rPr>
        <w:t>Б</w:t>
      </w:r>
      <w:r>
        <w:t xml:space="preserve"> График зависимости параметра порядка системы от времени. Экспериментальные значения взяты из статьи [2, 3].</w:t>
      </w:r>
    </w:p>
    <w:p w14:paraId="545585C3" w14:textId="77777777" w:rsidR="003C7162" w:rsidRPr="00275D1E" w:rsidRDefault="00000000" w:rsidP="00275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 w:rsidRPr="00275D1E">
        <w:t xml:space="preserve">Для наблюдаемого перехода из изотропной фазы в </w:t>
      </w:r>
      <w:proofErr w:type="spellStart"/>
      <w:r w:rsidRPr="00275D1E">
        <w:t>нематическую</w:t>
      </w:r>
      <w:proofErr w:type="spellEnd"/>
      <w:r w:rsidRPr="00275D1E">
        <w:t xml:space="preserve"> были построены характерные зависимости энергии системы, ее размеров и плотности от времени. Для полученной </w:t>
      </w:r>
      <w:proofErr w:type="spellStart"/>
      <w:r w:rsidRPr="00275D1E">
        <w:t>нематической</w:t>
      </w:r>
      <w:proofErr w:type="spellEnd"/>
      <w:r w:rsidRPr="00275D1E">
        <w:t xml:space="preserve"> фазы в NVT-ансамбле рассчитаны коэффициенты диффузии </w:t>
      </w:r>
      <m:oMath>
        <m:sSub>
          <m:sSubPr>
            <m:ctrlPr/>
          </m:sSubPr>
          <m:e>
            <m:r>
              <m:t>D</m:t>
            </m:r>
          </m:e>
          <m:sub>
            <m:r>
              <m:t>||</m:t>
            </m:r>
          </m:sub>
        </m:sSub>
      </m:oMath>
      <w:r w:rsidRPr="00275D1E">
        <w:t xml:space="preserve"> и </w:t>
      </w:r>
      <m:oMath>
        <m:sSub>
          <m:sSubPr>
            <m:ctrlPr/>
          </m:sSubPr>
          <m:e>
            <m:r>
              <m:t>D</m:t>
            </m:r>
          </m:e>
          <m:sub>
            <m:r>
              <m:t>⊥</m:t>
            </m:r>
          </m:sub>
        </m:sSub>
      </m:oMath>
      <w:r w:rsidRPr="00275D1E">
        <w:t xml:space="preserve"> вдоль директора и в направлении, перпендикулярном ему, соответственно. </w:t>
      </w:r>
    </w:p>
    <w:p w14:paraId="6FF9639B" w14:textId="77777777" w:rsidR="003C716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color w:val="000000"/>
        </w:rPr>
        <w:t>Литература</w:t>
      </w:r>
    </w:p>
    <w:p w14:paraId="4D6F1304" w14:textId="77777777" w:rsidR="003C7162" w:rsidRPr="008216C8" w:rsidRDefault="00000000" w:rsidP="00275D1E">
      <w:pPr>
        <w:shd w:val="clear" w:color="auto" w:fill="FFFFFF"/>
        <w:jc w:val="both"/>
        <w:rPr>
          <w:color w:val="000000"/>
          <w:highlight w:val="white"/>
          <w:lang w:val="en-US"/>
        </w:rPr>
      </w:pPr>
      <w:r w:rsidRPr="00275D1E">
        <w:rPr>
          <w:color w:val="000000"/>
        </w:rPr>
        <w:t xml:space="preserve">1. </w:t>
      </w:r>
      <w:proofErr w:type="spellStart"/>
      <w:r w:rsidRPr="00275D1E">
        <w:rPr>
          <w:color w:val="000000"/>
          <w:highlight w:val="white"/>
        </w:rPr>
        <w:t>Orlova</w:t>
      </w:r>
      <w:proofErr w:type="spellEnd"/>
      <w:r w:rsidRPr="00275D1E">
        <w:rPr>
          <w:color w:val="000000"/>
          <w:highlight w:val="white"/>
        </w:rPr>
        <w:t xml:space="preserve"> T. </w:t>
      </w:r>
      <w:proofErr w:type="spellStart"/>
      <w:r w:rsidRPr="00275D1E">
        <w:rPr>
          <w:color w:val="000000"/>
          <w:highlight w:val="white"/>
        </w:rPr>
        <w:t>et</w:t>
      </w:r>
      <w:proofErr w:type="spellEnd"/>
      <w:r w:rsidRPr="00275D1E">
        <w:rPr>
          <w:color w:val="000000"/>
          <w:highlight w:val="white"/>
        </w:rPr>
        <w:t xml:space="preserve"> </w:t>
      </w:r>
      <w:proofErr w:type="spellStart"/>
      <w:r w:rsidRPr="00275D1E">
        <w:rPr>
          <w:color w:val="000000"/>
          <w:highlight w:val="white"/>
        </w:rPr>
        <w:t>al</w:t>
      </w:r>
      <w:proofErr w:type="spellEnd"/>
      <w:r w:rsidRPr="00275D1E">
        <w:rPr>
          <w:color w:val="000000"/>
          <w:highlight w:val="white"/>
        </w:rPr>
        <w:t xml:space="preserve">. </w:t>
      </w:r>
      <w:r w:rsidRPr="00275D1E">
        <w:rPr>
          <w:color w:val="000000"/>
          <w:highlight w:val="white"/>
          <w:lang w:val="en-US"/>
        </w:rPr>
        <w:t xml:space="preserve">Revolving supramolecular chiral structures powered by light in nanomotor-doped liquid crystals //Nat. </w:t>
      </w:r>
      <w:proofErr w:type="spellStart"/>
      <w:r w:rsidRPr="008216C8">
        <w:rPr>
          <w:color w:val="000000"/>
          <w:highlight w:val="white"/>
          <w:lang w:val="en-US"/>
        </w:rPr>
        <w:t>Nanotechnol</w:t>
      </w:r>
      <w:proofErr w:type="spellEnd"/>
      <w:r w:rsidRPr="008216C8">
        <w:rPr>
          <w:color w:val="000000"/>
          <w:highlight w:val="white"/>
          <w:lang w:val="en-US"/>
        </w:rPr>
        <w:t>. 2018. Vol. 13. no. 4. P. 304-308.</w:t>
      </w:r>
    </w:p>
    <w:p w14:paraId="393954E6" w14:textId="1E947474" w:rsidR="003C7162" w:rsidRPr="008216C8" w:rsidRDefault="00000000" w:rsidP="00275D1E">
      <w:pPr>
        <w:shd w:val="clear" w:color="auto" w:fill="FFFFFF"/>
        <w:jc w:val="both"/>
        <w:rPr>
          <w:color w:val="000000"/>
          <w:highlight w:val="white"/>
          <w:lang w:val="en-US"/>
        </w:rPr>
      </w:pPr>
      <w:r w:rsidRPr="00275D1E">
        <w:rPr>
          <w:color w:val="000000"/>
          <w:lang w:val="en-US"/>
        </w:rPr>
        <w:t xml:space="preserve">2. </w:t>
      </w:r>
      <w:r w:rsidRPr="00275D1E">
        <w:rPr>
          <w:color w:val="000000"/>
          <w:highlight w:val="white"/>
          <w:lang w:val="en-US"/>
        </w:rPr>
        <w:t xml:space="preserve">Roushdy M. Optical behavior and related properties of the binary mixture 5CB/8CB liquid crystals //Mol. </w:t>
      </w:r>
      <w:proofErr w:type="spellStart"/>
      <w:r w:rsidRPr="008216C8">
        <w:rPr>
          <w:color w:val="000000"/>
          <w:highlight w:val="white"/>
          <w:lang w:val="en-US"/>
        </w:rPr>
        <w:t>Cryst</w:t>
      </w:r>
      <w:proofErr w:type="spellEnd"/>
      <w:r w:rsidRPr="008216C8">
        <w:rPr>
          <w:color w:val="000000"/>
          <w:highlight w:val="white"/>
          <w:lang w:val="en-US"/>
        </w:rPr>
        <w:t xml:space="preserve">. Liq. </w:t>
      </w:r>
      <w:proofErr w:type="spellStart"/>
      <w:r w:rsidRPr="008216C8">
        <w:rPr>
          <w:color w:val="000000"/>
          <w:highlight w:val="white"/>
          <w:lang w:val="en-US"/>
        </w:rPr>
        <w:t>Cryst</w:t>
      </w:r>
      <w:proofErr w:type="spellEnd"/>
      <w:r w:rsidRPr="008216C8">
        <w:rPr>
          <w:color w:val="000000"/>
          <w:highlight w:val="white"/>
          <w:lang w:val="en-US"/>
        </w:rPr>
        <w:t>. 2006. Vol. 457. no. 1. P. 151-160.</w:t>
      </w:r>
    </w:p>
    <w:p w14:paraId="677ACA3A" w14:textId="107DF62C" w:rsidR="003C7162" w:rsidRDefault="00000000" w:rsidP="00275D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color w:val="222222"/>
          <w:highlight w:val="white"/>
        </w:rPr>
      </w:pPr>
      <w:r w:rsidRPr="00BA54D6">
        <w:rPr>
          <w:color w:val="222222"/>
          <w:highlight w:val="white"/>
          <w:lang w:val="en-US"/>
        </w:rPr>
        <w:t xml:space="preserve">3. Magnuson M. L., Fung B. M., Bayle J. P. On the temperature dependence of the order parameter of liquid crystals over a wide nematic range //Liq. </w:t>
      </w:r>
      <w:proofErr w:type="spellStart"/>
      <w:r w:rsidRPr="00BA54D6">
        <w:rPr>
          <w:color w:val="222222"/>
          <w:highlight w:val="white"/>
          <w:lang w:val="en-US"/>
        </w:rPr>
        <w:t>cryst</w:t>
      </w:r>
      <w:proofErr w:type="spellEnd"/>
      <w:r w:rsidRPr="00BA54D6">
        <w:rPr>
          <w:color w:val="222222"/>
          <w:highlight w:val="white"/>
          <w:lang w:val="en-US"/>
        </w:rPr>
        <w:t xml:space="preserve">. </w:t>
      </w:r>
      <w:r>
        <w:rPr>
          <w:color w:val="222222"/>
          <w:highlight w:val="white"/>
        </w:rPr>
        <w:t>1995. V</w:t>
      </w:r>
      <w:proofErr w:type="spellStart"/>
      <w:r>
        <w:rPr>
          <w:color w:val="222222"/>
          <w:highlight w:val="white"/>
        </w:rPr>
        <w:t>ol</w:t>
      </w:r>
      <w:proofErr w:type="spellEnd"/>
      <w:r>
        <w:rPr>
          <w:color w:val="222222"/>
          <w:highlight w:val="white"/>
        </w:rPr>
        <w:t xml:space="preserve">. 19. </w:t>
      </w:r>
      <w:proofErr w:type="spellStart"/>
      <w:r>
        <w:rPr>
          <w:color w:val="222222"/>
          <w:highlight w:val="white"/>
        </w:rPr>
        <w:t>no</w:t>
      </w:r>
      <w:proofErr w:type="spellEnd"/>
      <w:r>
        <w:rPr>
          <w:color w:val="222222"/>
          <w:highlight w:val="white"/>
        </w:rPr>
        <w:t>. 6. P. 823-832.</w:t>
      </w:r>
    </w:p>
    <w:sectPr w:rsidR="003C7162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52A2" w14:textId="77777777" w:rsidR="00E1364A" w:rsidRDefault="00E1364A">
      <w:r>
        <w:separator/>
      </w:r>
    </w:p>
  </w:endnote>
  <w:endnote w:type="continuationSeparator" w:id="0">
    <w:p w14:paraId="4E0E169C" w14:textId="77777777" w:rsidR="00E1364A" w:rsidRDefault="00E1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3DB4" w14:textId="77777777" w:rsidR="00E1364A" w:rsidRDefault="00E1364A">
      <w:r>
        <w:separator/>
      </w:r>
    </w:p>
  </w:footnote>
  <w:footnote w:type="continuationSeparator" w:id="0">
    <w:p w14:paraId="149B554B" w14:textId="77777777" w:rsidR="00E1364A" w:rsidRDefault="00E13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428"/>
    <w:multiLevelType w:val="hybridMultilevel"/>
    <w:tmpl w:val="5AD8918C"/>
    <w:lvl w:ilvl="0" w:tplc="53D69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C4E942">
      <w:start w:val="1"/>
      <w:numFmt w:val="lowerLetter"/>
      <w:lvlText w:val="%2."/>
      <w:lvlJc w:val="left"/>
      <w:pPr>
        <w:ind w:left="1440" w:hanging="360"/>
      </w:pPr>
    </w:lvl>
    <w:lvl w:ilvl="2" w:tplc="14C08E0C">
      <w:start w:val="1"/>
      <w:numFmt w:val="lowerRoman"/>
      <w:lvlText w:val="%3."/>
      <w:lvlJc w:val="right"/>
      <w:pPr>
        <w:ind w:left="2160" w:hanging="180"/>
      </w:pPr>
    </w:lvl>
    <w:lvl w:ilvl="3" w:tplc="CF4AC46E">
      <w:start w:val="1"/>
      <w:numFmt w:val="decimal"/>
      <w:lvlText w:val="%4."/>
      <w:lvlJc w:val="left"/>
      <w:pPr>
        <w:ind w:left="2880" w:hanging="360"/>
      </w:pPr>
    </w:lvl>
    <w:lvl w:ilvl="4" w:tplc="65A27E5A">
      <w:start w:val="1"/>
      <w:numFmt w:val="lowerLetter"/>
      <w:lvlText w:val="%5."/>
      <w:lvlJc w:val="left"/>
      <w:pPr>
        <w:ind w:left="3600" w:hanging="360"/>
      </w:pPr>
    </w:lvl>
    <w:lvl w:ilvl="5" w:tplc="E452C522">
      <w:start w:val="1"/>
      <w:numFmt w:val="lowerRoman"/>
      <w:lvlText w:val="%6."/>
      <w:lvlJc w:val="right"/>
      <w:pPr>
        <w:ind w:left="4320" w:hanging="180"/>
      </w:pPr>
    </w:lvl>
    <w:lvl w:ilvl="6" w:tplc="447A488C">
      <w:start w:val="1"/>
      <w:numFmt w:val="decimal"/>
      <w:lvlText w:val="%7."/>
      <w:lvlJc w:val="left"/>
      <w:pPr>
        <w:ind w:left="5040" w:hanging="360"/>
      </w:pPr>
    </w:lvl>
    <w:lvl w:ilvl="7" w:tplc="A72E229A">
      <w:start w:val="1"/>
      <w:numFmt w:val="lowerLetter"/>
      <w:lvlText w:val="%8."/>
      <w:lvlJc w:val="left"/>
      <w:pPr>
        <w:ind w:left="5760" w:hanging="360"/>
      </w:pPr>
    </w:lvl>
    <w:lvl w:ilvl="8" w:tplc="BFB069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76C9F"/>
    <w:multiLevelType w:val="hybridMultilevel"/>
    <w:tmpl w:val="9E022F86"/>
    <w:lvl w:ilvl="0" w:tplc="B802AB7E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7C2C1F4E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6AD04936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EB9ECDC6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D65C3226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590A2F92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57EC864A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C884F44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3F2EA36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272786175">
    <w:abstractNumId w:val="1"/>
  </w:num>
  <w:num w:numId="2" w16cid:durableId="14282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62"/>
    <w:rsid w:val="00275D1E"/>
    <w:rsid w:val="003C7162"/>
    <w:rsid w:val="008216C8"/>
    <w:rsid w:val="008C76DB"/>
    <w:rsid w:val="00BA54D6"/>
    <w:rsid w:val="00E1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3E51"/>
  <w15:docId w15:val="{D015D416-73DA-44A6-BC6B-08A3607D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>Lomonosov MSU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5</cp:revision>
  <dcterms:created xsi:type="dcterms:W3CDTF">2024-03-19T00:45:00Z</dcterms:created>
  <dcterms:modified xsi:type="dcterms:W3CDTF">2024-03-19T00:46:00Z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