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8E97" w14:textId="696E1493" w:rsidR="009D7827" w:rsidRPr="00887385" w:rsidRDefault="0050631B" w:rsidP="009D7827">
      <w:pPr>
        <w:pStyle w:val="a3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Текст папируса </w:t>
      </w:r>
      <w:r w:rsidRPr="00887385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Kahun</w:t>
      </w:r>
      <w:r w:rsidRPr="00887385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87385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Pr="00887385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.1 </w:t>
      </w:r>
      <w:r w:rsidR="001575E8" w:rsidRPr="00887385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 w:rsidRPr="00887385">
        <w:rPr>
          <w:rFonts w:ascii="Times New Roman" w:hAnsi="Times New Roman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брачный контракт времен</w:t>
      </w:r>
      <w:r w:rsidR="001575E8" w:rsidRPr="00887385">
        <w:rPr>
          <w:rFonts w:ascii="Times New Roman" w:hAnsi="Times New Roman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и</w:t>
      </w:r>
      <w:r w:rsidRPr="00887385">
        <w:rPr>
          <w:rFonts w:ascii="Times New Roman" w:hAnsi="Times New Roman" w:cs="Times New Roman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Среднего царства</w:t>
      </w:r>
      <w:r w:rsidR="00381034" w:rsidRPr="00887385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</w:p>
    <w:p w14:paraId="1C6BFB58" w14:textId="621779AA" w:rsidR="009D7827" w:rsidRPr="00887385" w:rsidRDefault="009D7827" w:rsidP="009D7827">
      <w:pPr>
        <w:pStyle w:val="a3"/>
        <w:spacing w:after="1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Солодовник Д</w:t>
      </w:r>
      <w:r w:rsidR="002069B4" w:rsidRPr="00887385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аниела Евгеньевна</w:t>
      </w:r>
    </w:p>
    <w:p w14:paraId="75961331" w14:textId="77777777" w:rsidR="009D7827" w:rsidRPr="00887385" w:rsidRDefault="009D7827" w:rsidP="009D7827">
      <w:pPr>
        <w:pStyle w:val="a3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Студентка</w:t>
      </w:r>
    </w:p>
    <w:p w14:paraId="196B2FCC" w14:textId="77777777" w:rsidR="009D7827" w:rsidRPr="00887385" w:rsidRDefault="009D7827" w:rsidP="009D7827">
      <w:pPr>
        <w:pStyle w:val="a3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Санкт-Петербургский государственный университет </w:t>
      </w:r>
    </w:p>
    <w:p w14:paraId="4015554A" w14:textId="77777777" w:rsidR="009D7827" w:rsidRPr="00887385" w:rsidRDefault="009D7827" w:rsidP="009D7827">
      <w:pPr>
        <w:pStyle w:val="a3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Восточный факультет, Санкт-Петербург, Россия</w:t>
      </w:r>
    </w:p>
    <w:p w14:paraId="71A2EAEA" w14:textId="4C01CF76" w:rsidR="009D7827" w:rsidRPr="00887385" w:rsidRDefault="009D7827" w:rsidP="0050631B">
      <w:pPr>
        <w:pStyle w:val="a3"/>
        <w:spacing w:before="280" w:after="280"/>
        <w:jc w:val="center"/>
        <w:rPr>
          <w:rFonts w:ascii="Times New Roman" w:hAnsi="Times New Roman" w:cs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887385">
        <w:rPr>
          <w:rFonts w:ascii="Times New Roman" w:hAnsi="Times New Roman" w:cs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887385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mail</w:t>
      </w:r>
      <w:r w:rsidRPr="00887385">
        <w:rPr>
          <w:rFonts w:ascii="Times New Roman" w:hAnsi="Times New Roman" w:cs="Times New Roman"/>
          <w:i/>
          <w:i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hyperlink r:id="rId6" w:history="1">
        <w:r w:rsidRPr="00887385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>solonela</w:t>
        </w:r>
        <w:r w:rsidRPr="00887385">
          <w:rPr>
            <w:rStyle w:val="a5"/>
            <w:rFonts w:ascii="Times New Roman" w:hAnsi="Times New Roman" w:cs="Times New Roman"/>
            <w:i/>
            <w:iCs/>
            <w:sz w:val="24"/>
            <w:szCs w:val="24"/>
            <w14:textOutline w14:w="12700" w14:cap="flat" w14:cmpd="sng" w14:algn="ctr">
              <w14:noFill/>
              <w14:prstDash w14:val="solid"/>
              <w14:miter w14:lim="400000"/>
            </w14:textOutline>
          </w:rPr>
          <w:t>1101@</w:t>
        </w:r>
        <w:r w:rsidRPr="00887385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>gmail</w:t>
        </w:r>
        <w:r w:rsidRPr="00887385">
          <w:rPr>
            <w:rStyle w:val="a5"/>
            <w:rFonts w:ascii="Times New Roman" w:hAnsi="Times New Roman" w:cs="Times New Roman"/>
            <w:i/>
            <w:iCs/>
            <w:sz w:val="24"/>
            <w:szCs w:val="24"/>
            <w14:textOutline w14:w="12700" w14:cap="flat" w14:cmpd="sng" w14:algn="ctr">
              <w14:noFill/>
              <w14:prstDash w14:val="solid"/>
              <w14:miter w14:lim="400000"/>
            </w14:textOutline>
          </w:rPr>
          <w:t>.</w:t>
        </w:r>
        <w:r w:rsidRPr="00887385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>com</w:t>
        </w:r>
      </w:hyperlink>
    </w:p>
    <w:p w14:paraId="3B427CDC" w14:textId="2B6678C2" w:rsidR="002069B4" w:rsidRPr="00887385" w:rsidRDefault="00557543" w:rsidP="007D3068">
      <w:pPr>
        <w:pStyle w:val="a6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Одними из важнейших источников для изучения социального и правового положения женщин в Древнем Египте являются так называемые «брачные договоры». В них прописывались не только </w:t>
      </w:r>
      <w:r w:rsidR="001575E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имущественные</w:t>
      </w: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аспекты будущего брака, но </w:t>
      </w:r>
      <w:r w:rsidR="001575E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даже</w:t>
      </w: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моральные нормы</w:t>
      </w:r>
      <w:r w:rsidR="001575E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</w:t>
      </w: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наказания за их нарушение. </w:t>
      </w:r>
      <w:r w:rsidR="009F547E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Однако самые ранние документы такого типа известны лишь с </w:t>
      </w:r>
      <w:r w:rsidR="009F547E" w:rsidRPr="00887385">
        <w:rPr>
          <w:rFonts w:ascii="Times New Roman" w:hAnsi="Times New Roman" w:cs="Times New Roman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VII</w:t>
      </w:r>
      <w:r w:rsidR="009F547E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</w:t>
      </w:r>
      <w:r w:rsidR="001575E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9F547E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 н.э., </w:t>
      </w:r>
      <w:r w:rsidR="001575E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и</w:t>
      </w:r>
      <w:r w:rsidR="009F547E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мы можем </w:t>
      </w:r>
      <w:r w:rsidR="002069B4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только догадываться</w:t>
      </w:r>
      <w:r w:rsidR="009F547E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как именно выглядела процедура заключения брака в более ранние эпохи. </w:t>
      </w:r>
      <w:r w:rsidR="002069B4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Тем не менее, </w:t>
      </w:r>
      <w:r w:rsidR="001575E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от </w:t>
      </w:r>
      <w:r w:rsidR="00021E09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времени </w:t>
      </w:r>
      <w:r w:rsidR="001575E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второй половины правления </w:t>
      </w:r>
      <w:r w:rsidR="001575E8" w:rsidRPr="00887385">
        <w:rPr>
          <w:rFonts w:ascii="Times New Roman" w:hAnsi="Times New Roman" w:cs="Times New Roman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XII</w:t>
      </w:r>
      <w:r w:rsidR="001575E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династии</w:t>
      </w:r>
      <w:r w:rsidR="00021E09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(предположительно, царствование Аменемхета </w:t>
      </w:r>
      <w:r w:rsidR="005D2763" w:rsidRPr="00887385">
        <w:rPr>
          <w:rFonts w:ascii="Times New Roman" w:hAnsi="Times New Roman" w:cs="Times New Roman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III</w:t>
      </w:r>
      <w:r w:rsidR="00021E09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1575E8" w:rsidRPr="00887385">
        <w:rPr>
          <w:rFonts w:ascii="Times New Roman" w:hAnsi="Times New Roman" w:cs="Times New Roman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XIX</w:t>
      </w:r>
      <w:r w:rsidR="001575E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</w:t>
      </w:r>
      <w:r w:rsidR="006028EE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в.</w:t>
      </w:r>
      <w:r w:rsidR="001575E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 </w:t>
      </w:r>
      <w:r w:rsidR="00021E09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н.э.</w:t>
      </w:r>
      <w:r w:rsidR="001575E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021E09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069B4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сохранил</w:t>
      </w:r>
      <w:r w:rsidR="001575E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ась надпись</w:t>
      </w:r>
      <w:r w:rsidR="002069B4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на папирусе </w:t>
      </w:r>
      <w:r w:rsidR="002069B4" w:rsidRPr="00887385">
        <w:rPr>
          <w:rFonts w:ascii="Times New Roman" w:hAnsi="Times New Roman" w:cs="Times New Roman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Kahun</w:t>
      </w:r>
      <w:r w:rsidR="002069B4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069B4" w:rsidRPr="00887385">
        <w:rPr>
          <w:rFonts w:ascii="Times New Roman" w:hAnsi="Times New Roman" w:cs="Times New Roman"/>
          <w:color w:val="auto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Ι</w:t>
      </w:r>
      <w:r w:rsidR="002069B4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.1</w:t>
      </w:r>
      <w:r w:rsidR="008744EF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(теперь </w:t>
      </w:r>
      <w:r w:rsidR="008744EF" w:rsidRPr="00887385">
        <w:rPr>
          <w:rFonts w:ascii="Times New Roman" w:hAnsi="Times New Roman" w:cs="Times New Roman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UCL</w:t>
      </w:r>
      <w:r w:rsidR="008744EF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32</w:t>
      </w:r>
      <w:r w:rsidR="005D2763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8744EF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58)</w:t>
      </w:r>
      <w:r w:rsidR="001575E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представляющая</w:t>
      </w:r>
      <w:r w:rsidR="002069B4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собой </w:t>
      </w:r>
      <w:r w:rsidR="001575E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документ о передаче имущества </w:t>
      </w:r>
      <w:r w:rsidR="002069B4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2069B4" w:rsidRPr="00887385">
        <w:rPr>
          <w:rFonts w:ascii="Times New Roman" w:hAnsi="Times New Roman" w:cs="Times New Roman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im</w:t>
      </w:r>
      <w:r w:rsidR="00021E09" w:rsidRPr="00887385">
        <w:rPr>
          <w:rFonts w:ascii="Times New Roman" w:hAnsi="Times New Roman" w:cs="Times New Roman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y</w:t>
      </w:r>
      <w:r w:rsidR="002069B4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2069B4" w:rsidRPr="00887385">
        <w:rPr>
          <w:rFonts w:ascii="Times New Roman" w:hAnsi="Times New Roman" w:cs="Times New Roman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 w:rsidR="002069B4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="002069B4" w:rsidRPr="00887385">
        <w:rPr>
          <w:rFonts w:ascii="Times New Roman" w:hAnsi="Times New Roman" w:cs="Times New Roman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pr</w:t>
      </w:r>
      <w:r w:rsidR="002069B4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A92B1A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21E09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[</w:t>
      </w:r>
      <w:r w:rsidR="00EF72D7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="001868E3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]</w:t>
      </w:r>
      <w:r w:rsidR="002069B4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7D306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 хотя </w:t>
      </w:r>
      <w:r w:rsidR="00A92B1A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текст </w:t>
      </w:r>
      <w:r w:rsidR="007D306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оформлен достаточно стандартно для </w:t>
      </w:r>
      <w:r w:rsidR="00A92B1A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документов такого рода</w:t>
      </w:r>
      <w:r w:rsidR="007D306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некоторые его особенности позволяют предположить, что он мог быть эквивалентом более поздних демотических брачных договоров. </w:t>
      </w:r>
    </w:p>
    <w:p w14:paraId="3E7C2F6A" w14:textId="7C5F829D" w:rsidR="00301241" w:rsidRPr="00887385" w:rsidRDefault="00301241" w:rsidP="007D3068">
      <w:pPr>
        <w:pStyle w:val="a6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Такое предположение ранее уже высказывалось </w:t>
      </w:r>
      <w:r w:rsidR="000D52C0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Э. Зайдлем [</w:t>
      </w:r>
      <w:r w:rsidR="001900C0" w:rsidRPr="001900C0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0D52C0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]</w:t>
      </w:r>
      <w:r w:rsidR="005D2763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К. Эйром [</w:t>
      </w:r>
      <w:r w:rsidR="009431CE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="005D2763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] и Д. Джонсон [</w:t>
      </w:r>
      <w:r w:rsidR="009431CE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5D2763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]; тем не менее, не все исследователи с ним согласны – например, С. Липперт считает, что в документе подразумевается передача имущества после смерти владельца [</w:t>
      </w:r>
      <w:r w:rsidR="001900C0" w:rsidRPr="0043210E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="005D2763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].</w:t>
      </w:r>
    </w:p>
    <w:p w14:paraId="2C65E5A6" w14:textId="4D5940C5" w:rsidR="00C06319" w:rsidRPr="00887385" w:rsidRDefault="00D04DAE" w:rsidP="007D3068">
      <w:pPr>
        <w:pStyle w:val="a6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Как и в брачных договорах Позднего периода, здесь</w:t>
      </w:r>
      <w:r w:rsidR="007D306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мужчина </w:t>
      </w:r>
      <w:r w:rsidR="00D35465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 имени Вах </w:t>
      </w:r>
      <w:r w:rsidR="007D306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передает всю </w:t>
      </w: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свою</w:t>
      </w:r>
      <w:r w:rsidR="007D306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собственность </w:t>
      </w: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своей</w:t>
      </w:r>
      <w:r w:rsidR="00D35465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D306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жен</w:t>
      </w: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е</w:t>
      </w:r>
      <w:r w:rsidR="00D35465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Тети,</w:t>
      </w:r>
      <w:r w:rsidR="007D306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тем самым </w:t>
      </w:r>
      <w:r w:rsidR="0040680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давая своеобразную гарантию </w:t>
      </w:r>
      <w:r w:rsidR="007D306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ее безбедно</w:t>
      </w:r>
      <w:r w:rsidR="0040680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го </w:t>
      </w:r>
      <w:r w:rsidR="007D306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существовани</w:t>
      </w:r>
      <w:r w:rsidR="0040680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я</w:t>
      </w:r>
      <w:r w:rsidR="00391353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случае развода или смерти супруга. </w:t>
      </w:r>
      <w:r w:rsidR="00C06319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Вероятно, такая передача имущества была формальной, и представляла собой аналог более позднего fA(j) gAjj.t – «внесения свертка», обозначавшего </w:t>
      </w:r>
      <w:r w:rsidR="00293E03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подарок, который жених дарил семье невесты. </w:t>
      </w:r>
    </w:p>
    <w:p w14:paraId="53088445" w14:textId="434DD7D9" w:rsidR="002A4A5C" w:rsidRPr="00887385" w:rsidRDefault="00D04DAE" w:rsidP="002A4A5C">
      <w:pPr>
        <w:pStyle w:val="a6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Другая черта сходства</w:t>
      </w:r>
      <w:r w:rsidR="00293E03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заключается в том, что </w:t>
      </w:r>
      <w:r w:rsidR="0010427D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перед тем, как</w:t>
      </w:r>
      <w:r w:rsidR="00293E03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записать акт о передаче собственности своей жене, </w:t>
      </w:r>
      <w:r w:rsidR="0010427D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Вах </w:t>
      </w:r>
      <w:r w:rsidR="00293E03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поручил писцу скопировать документ, написанный его братом Анхреном, </w:t>
      </w: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дававший ему</w:t>
      </w:r>
      <w:r w:rsidR="00293E03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право владеть и распоряжаться полученным от брата имуществом.</w:t>
      </w:r>
      <w:r w:rsidR="0010427D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брачных контрактах Позднего периода часто встречаются указания на законность приобретенного имущества, особенно если оно было получено в качестве наследства.</w:t>
      </w:r>
      <w:r w:rsidR="002A4A5C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40756AE" w14:textId="6BB23D59" w:rsidR="007D3068" w:rsidRPr="00887385" w:rsidRDefault="00D04DAE" w:rsidP="002A4A5C">
      <w:pPr>
        <w:pStyle w:val="a6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К</w:t>
      </w:r>
      <w:r w:rsidR="0040680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ак и в более поздних документах, </w:t>
      </w:r>
      <w:r w:rsidR="0010427D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Вах</w:t>
      </w:r>
      <w:r w:rsidR="0040680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указывает, что именно дети, рожде</w:t>
      </w:r>
      <w:r w:rsidR="0010427D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н</w:t>
      </w:r>
      <w:r w:rsidR="0040680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ные</w:t>
      </w:r>
      <w:r w:rsidR="00391353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06808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от этой жены, будут иметь право на законное наследство.</w:t>
      </w:r>
      <w:r w:rsidR="0010427D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Такое предположение позволяет сделать формулировка </w:t>
      </w:r>
      <w:r w:rsidR="0010427D" w:rsidRPr="00887385">
        <w:rPr>
          <w:rFonts w:ascii="Times New Roman" w:hAnsi="Times New Roman" w:cs="Times New Roman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mcj</w:t>
      </w:r>
      <w:r w:rsidR="0010427D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=</w:t>
      </w:r>
      <w:r w:rsidR="0010427D" w:rsidRPr="00887385">
        <w:rPr>
          <w:rFonts w:ascii="Times New Roman" w:hAnsi="Times New Roman" w:cs="Times New Roman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="0010427D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которая может относиться как к уже рожденным детям, так и к тем, которым только предстоит родиться. </w:t>
      </w:r>
      <w:r w:rsidR="002A4A5C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Он также указывает, что Тети имеет право передать собственность любому из их детей. Этот пункт </w:t>
      </w:r>
      <w:r w:rsidR="00575ADC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дает гарантии обеим сторонам: </w:t>
      </w:r>
      <w:r w:rsidR="002A4A5C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во-первых, Тети будет уверена, что именно ее дети, рожденные от Ваха, станут законными наследниками; во-вторых, Вах будет уверен, что в случае его смерти жена не передаст имущество кому-либо</w:t>
      </w:r>
      <w:r w:rsidR="00575ADC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из членов </w:t>
      </w:r>
      <w:r w:rsidR="00575ADC" w:rsidRPr="00610698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ее </w:t>
      </w:r>
      <w:r w:rsidR="0043210E" w:rsidRPr="00610698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первоначальной </w:t>
      </w:r>
      <w:r w:rsidR="00575ADC" w:rsidRPr="00610698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семьи </w:t>
      </w:r>
      <w:r w:rsidR="002A4A5C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или детям, которые родятся в последующем браке. </w:t>
      </w:r>
      <w:r w:rsidR="00486B7D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Такая же передача имущества мужа в пользу детей является стандартной частью многих брачных контрактов Позднего периода. И хотя в некоторых таких документах упоминаются дети, уже рожденные в браке, </w:t>
      </w:r>
      <w:r w:rsidR="00575ADC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гораздо чаще </w:t>
      </w:r>
      <w:r w:rsidR="00486B7D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речь идет о будущих детях, подразумевая, что договор заключался при вступлении в брак. </w:t>
      </w:r>
    </w:p>
    <w:p w14:paraId="594F48F5" w14:textId="736F3121" w:rsidR="00486B7D" w:rsidRPr="00887385" w:rsidRDefault="00D04DAE" w:rsidP="002A4A5C">
      <w:pPr>
        <w:pStyle w:val="a6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Не позволяют ли отмеченные параллели</w:t>
      </w:r>
      <w:r w:rsidR="0050631B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понять рассматриваемый</w:t>
      </w:r>
      <w:r w:rsidR="0050631B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документ </w:t>
      </w:r>
      <w:r w:rsidR="00486B7D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не только как стандартный акт о передаче имущества, но и как аналог брачного контракта</w:t>
      </w: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  <w:r w:rsidR="00486B7D"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B4C0A01" w14:textId="77777777" w:rsidR="001868E3" w:rsidRPr="00887385" w:rsidRDefault="001868E3" w:rsidP="001868E3">
      <w:pPr>
        <w:pStyle w:val="a6"/>
        <w:spacing w:before="0" w:line="240" w:lineRule="auto"/>
        <w:jc w:val="both"/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496E1E" w14:textId="10B6786C" w:rsidR="001868E3" w:rsidRPr="00887385" w:rsidRDefault="001868E3" w:rsidP="001868E3">
      <w:pPr>
        <w:pStyle w:val="a6"/>
        <w:spacing w:before="0" w:line="240" w:lineRule="auto"/>
        <w:jc w:val="both"/>
        <w:rPr>
          <w:rFonts w:ascii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Литература:</w:t>
      </w:r>
    </w:p>
    <w:p w14:paraId="1D647A67" w14:textId="77777777" w:rsidR="001868E3" w:rsidRPr="00887385" w:rsidRDefault="001868E3" w:rsidP="009431CE">
      <w:pPr>
        <w:pStyle w:val="a6"/>
        <w:spacing w:before="0" w:line="240" w:lineRule="auto"/>
        <w:jc w:val="both"/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5CE609" w14:textId="77777777" w:rsidR="001900C0" w:rsidRPr="00887385" w:rsidRDefault="001900C0" w:rsidP="009431CE">
      <w:pPr>
        <w:pStyle w:val="a6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Collier M., Quirke S. The UCL Lahun Papyri: Religious, Literary, Legal, Mathematical and Medical. Oxford</w:t>
      </w: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Pr="00887385">
        <w:rPr>
          <w:rFonts w:ascii="Times New Roman" w:hAnsi="Times New Roman" w:cs="Times New Roman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Archeopress</w:t>
      </w: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2004. </w:t>
      </w:r>
      <w:r w:rsidRPr="00887385">
        <w:rPr>
          <w:rFonts w:ascii="Times New Roman" w:hAnsi="Times New Roman" w:cs="Times New Roman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Pr="00887385">
        <w:rPr>
          <w:rFonts w:ascii="Times New Roman" w:hAnsi="Times New Roman" w:cs="Times New Roman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104–105</w:t>
      </w:r>
      <w:r w:rsidRPr="00887385">
        <w:rPr>
          <w:rFonts w:ascii="Times New Roman" w:hAnsi="Times New Roman" w:cs="Times New Roman"/>
          <w:color w:val="auto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2F1B0EC" w14:textId="77777777" w:rsidR="001900C0" w:rsidRPr="00887385" w:rsidRDefault="001900C0" w:rsidP="009431CE">
      <w:pPr>
        <w:pStyle w:val="a7"/>
        <w:numPr>
          <w:ilvl w:val="0"/>
          <w:numId w:val="1"/>
        </w:num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Eyre C.J. The Evil Stepmother and the Rights of a Second Wife // The Journal of Egyptian Archaeology. 2007. Vol. 93. P. 232.</w:t>
      </w:r>
    </w:p>
    <w:p w14:paraId="1D1D3CC8" w14:textId="77777777" w:rsidR="001900C0" w:rsidRPr="00887385" w:rsidRDefault="001900C0" w:rsidP="009431CE">
      <w:pPr>
        <w:pStyle w:val="a7"/>
        <w:numPr>
          <w:ilvl w:val="0"/>
          <w:numId w:val="1"/>
        </w:num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Johnson J.H. Speculations on Middle Kingdom Marriage // </w:t>
      </w:r>
      <w:r w:rsidRPr="0088738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Studies on Ancient Egypt in Honour of H. S. Smith / Ed. A. Leahy and J.Tait. London: The Egypt Exploration Society, 1999. P.169-72</w:t>
      </w:r>
    </w:p>
    <w:p w14:paraId="05B17F7B" w14:textId="77777777" w:rsidR="001900C0" w:rsidRPr="00887385" w:rsidRDefault="001900C0" w:rsidP="009D7827">
      <w:pPr>
        <w:pStyle w:val="a7"/>
        <w:numPr>
          <w:ilvl w:val="0"/>
          <w:numId w:val="1"/>
        </w:num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Lippert S. Einführung in die ägyptische Rechtsgeschichte // Einführung in die Quellentexte zur Ägyptologie / Ed. L. Gestermann und C. Leitz. Berlin: LIT Verlag Dr. W. Hopf, 2008. S. 36.</w:t>
      </w:r>
    </w:p>
    <w:p w14:paraId="0574355A" w14:textId="77777777" w:rsidR="001900C0" w:rsidRPr="00887385" w:rsidRDefault="001900C0" w:rsidP="009431CE">
      <w:pPr>
        <w:pStyle w:val="a7"/>
        <w:numPr>
          <w:ilvl w:val="0"/>
          <w:numId w:val="1"/>
        </w:numP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87385">
        <w:rPr>
          <w:rFonts w:ascii="Times New Roman" w:hAnsi="Times New Roman" w:cs="Times New Roman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Seidl E. Einführung in die ägyptische Rechtsgeschichte bis zum Ende des Neuen Reiches. Teil 1: Juristischer Teil. Glückstadt-Hamburg-New York: Verlag J. J. Augustin, 1951. S. 56.</w:t>
      </w:r>
    </w:p>
    <w:p w14:paraId="58448281" w14:textId="77777777" w:rsidR="00954E0F" w:rsidRPr="00954E0F" w:rsidRDefault="00954E0F" w:rsidP="009D7827">
      <w:pPr>
        <w:rPr>
          <w:color w:val="FF0000"/>
        </w:rPr>
      </w:pPr>
    </w:p>
    <w:sectPr w:rsidR="00954E0F" w:rsidRPr="0095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Imprint MT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076E8"/>
    <w:multiLevelType w:val="hybridMultilevel"/>
    <w:tmpl w:val="9FFA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83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37"/>
    <w:rsid w:val="00021E09"/>
    <w:rsid w:val="000A769B"/>
    <w:rsid w:val="000D52C0"/>
    <w:rsid w:val="0010427D"/>
    <w:rsid w:val="00126337"/>
    <w:rsid w:val="0013529F"/>
    <w:rsid w:val="001575E8"/>
    <w:rsid w:val="001868E3"/>
    <w:rsid w:val="001900C0"/>
    <w:rsid w:val="001A0FAA"/>
    <w:rsid w:val="002069B4"/>
    <w:rsid w:val="00293E03"/>
    <w:rsid w:val="002A4A5C"/>
    <w:rsid w:val="00301241"/>
    <w:rsid w:val="00381034"/>
    <w:rsid w:val="00391353"/>
    <w:rsid w:val="003D32CC"/>
    <w:rsid w:val="00406808"/>
    <w:rsid w:val="00420EC9"/>
    <w:rsid w:val="0043210E"/>
    <w:rsid w:val="0043296A"/>
    <w:rsid w:val="00486B7D"/>
    <w:rsid w:val="0050631B"/>
    <w:rsid w:val="00506D6B"/>
    <w:rsid w:val="00557543"/>
    <w:rsid w:val="00575ADC"/>
    <w:rsid w:val="005D2763"/>
    <w:rsid w:val="006028EE"/>
    <w:rsid w:val="00610698"/>
    <w:rsid w:val="00621891"/>
    <w:rsid w:val="00743CB8"/>
    <w:rsid w:val="007D3068"/>
    <w:rsid w:val="008744EF"/>
    <w:rsid w:val="00887385"/>
    <w:rsid w:val="008A17D4"/>
    <w:rsid w:val="008A4E15"/>
    <w:rsid w:val="009431CE"/>
    <w:rsid w:val="00954E0F"/>
    <w:rsid w:val="009D7827"/>
    <w:rsid w:val="009F547E"/>
    <w:rsid w:val="00A92B1A"/>
    <w:rsid w:val="00B50000"/>
    <w:rsid w:val="00B539C4"/>
    <w:rsid w:val="00C06319"/>
    <w:rsid w:val="00D04DAE"/>
    <w:rsid w:val="00D35465"/>
    <w:rsid w:val="00EF72D7"/>
    <w:rsid w:val="00F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AF75"/>
  <w15:chartTrackingRefBased/>
  <w15:docId w15:val="{F1CCAFA6-C929-40C6-934E-F7B5A08A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9D78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9D7827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Hyperlink"/>
    <w:basedOn w:val="a0"/>
    <w:uiPriority w:val="99"/>
    <w:unhideWhenUsed/>
    <w:rsid w:val="009D7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827"/>
    <w:rPr>
      <w:color w:val="605E5C"/>
      <w:shd w:val="clear" w:color="auto" w:fill="E1DFDD"/>
    </w:rPr>
  </w:style>
  <w:style w:type="paragraph" w:customStyle="1" w:styleId="a6">
    <w:name w:val="По умолчанию"/>
    <w:rsid w:val="009D782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39C4"/>
    <w:pPr>
      <w:autoSpaceDE w:val="0"/>
      <w:autoSpaceDN w:val="0"/>
      <w:adjustRightInd w:val="0"/>
      <w:spacing w:after="0" w:line="240" w:lineRule="auto"/>
    </w:pPr>
    <w:rPr>
      <w:rFonts w:ascii="Imprint MT Pro" w:hAnsi="Imprint MT Pro" w:cs="Imprint MT Pro"/>
      <w:color w:val="000000"/>
      <w:sz w:val="24"/>
      <w:szCs w:val="24"/>
    </w:rPr>
  </w:style>
  <w:style w:type="paragraph" w:customStyle="1" w:styleId="Pa110">
    <w:name w:val="Pa1+10"/>
    <w:basedOn w:val="Default"/>
    <w:next w:val="Default"/>
    <w:uiPriority w:val="99"/>
    <w:rsid w:val="00B539C4"/>
    <w:pPr>
      <w:spacing w:line="321" w:lineRule="atLeast"/>
    </w:pPr>
    <w:rPr>
      <w:rFonts w:cstheme="minorBidi"/>
      <w:color w:val="auto"/>
    </w:rPr>
  </w:style>
  <w:style w:type="paragraph" w:styleId="a7">
    <w:name w:val="List Paragraph"/>
    <w:basedOn w:val="a"/>
    <w:uiPriority w:val="34"/>
    <w:qFormat/>
    <w:rsid w:val="0094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lonela11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1B0F9-6F6F-4E3B-8A7E-82476943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Солодовник</dc:creator>
  <cp:keywords/>
  <dc:description/>
  <cp:lastModifiedBy>Даниела Солодовник</cp:lastModifiedBy>
  <cp:revision>18</cp:revision>
  <dcterms:created xsi:type="dcterms:W3CDTF">2024-02-27T14:15:00Z</dcterms:created>
  <dcterms:modified xsi:type="dcterms:W3CDTF">2024-02-29T11:18:00Z</dcterms:modified>
</cp:coreProperties>
</file>