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360" w:before="0" w:after="0"/>
        <w:ind w:firstLine="708"/>
        <w:jc w:val="center"/>
        <w:rPr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Перспективы развёртывания американских ракет средней дальности в Европе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Криволапов О.О.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Институт Соединенных Штатов Америки и Канады РАН, Кандидат наук, 2015</w:t>
      </w:r>
    </w:p>
    <w:p>
      <w:pPr>
        <w:pStyle w:val="Style15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>E–mail: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o.krivolapov@iskran.ru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США заявила о намерении развернуть ракеты малой и средней дальности наземного базирования в Восточной Азии ещё в 2019 г. почти сразу после обрушения Договора о ликвидации ракет средней и меньшей дальности (ДРСМД). По тому договору РФ и США нельзя было иметь ракеты с дальностью 500-5500 км именно наземного базирования. Российское руководство ещё в 2019 г. указало, что развернёт такие ракеты в регионе только если страны НАТО развернут такие ракеты первыми. К 2023 г. в США были созданы мобильные ракетные комплексы “</w:t>
      </w:r>
      <w:r>
        <w:rPr>
          <w:rFonts w:cs="Times New Roman" w:ascii="Times New Roman" w:hAnsi="Times New Roman"/>
          <w:sz w:val="24"/>
          <w:szCs w:val="24"/>
          <w:lang w:val="en-US"/>
        </w:rPr>
        <w:t>Typhon</w:t>
      </w:r>
      <w:r>
        <w:rPr>
          <w:rFonts w:cs="Times New Roman" w:ascii="Times New Roman" w:hAnsi="Times New Roman"/>
          <w:sz w:val="24"/>
          <w:szCs w:val="24"/>
        </w:rPr>
        <w:t>” наземного базирования с ракетами “</w:t>
      </w:r>
      <w:r>
        <w:rPr>
          <w:rFonts w:cs="Times New Roman" w:ascii="Times New Roman" w:hAnsi="Times New Roman"/>
          <w:sz w:val="24"/>
          <w:szCs w:val="24"/>
          <w:lang w:val="en-US"/>
        </w:rPr>
        <w:t>Tomahawk</w:t>
      </w:r>
      <w:r>
        <w:rPr>
          <w:rFonts w:cs="Times New Roman" w:ascii="Times New Roman" w:hAnsi="Times New Roman"/>
          <w:sz w:val="24"/>
          <w:szCs w:val="24"/>
        </w:rPr>
        <w:t>” (максимальная дальность до 2500 км). Данные системы поставлены на вооружение Сухопутных сил и Корпуса морской пехоты США и предназначены для уничтожения надводных кораблей и наземных объектов противника. По мнению администрации США, эти ракетные системы должны сыграть роль в региональном сдерживании Китая, который давно имеет большой арсенал ракет с дальностью менее 5500 км наземного базирования. После начала российской специальной военной операции на Украине руководство США утверждает, что Россия в долгосрочной перспективе намерена напасть на страны Североатлантического альянса [5]. В этой связи может вновь появиться идея о развёртывании ракет средней и меньшей дальности наземного базирования в Европе для сдерживания предполагаемой агрессии со стороны России. Цель данного исследования – определить перспективы развёртывания ракет средней дальности наземного базирования в странах НАТО.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Ещё в 2019-2020 гг. на уровне чиновников [9] и экспертов [4; 8] </w:t>
      </w:r>
      <w:r>
        <w:rPr>
          <w:rFonts w:cs="Times New Roman" w:ascii="Times New Roman" w:hAnsi="Times New Roman"/>
          <w:bCs/>
          <w:sz w:val="24"/>
          <w:szCs w:val="24"/>
        </w:rPr>
        <w:t xml:space="preserve">в США обсуждалась </w:t>
      </w:r>
      <w:r>
        <w:rPr>
          <w:rFonts w:cs="Times New Roman" w:ascii="Times New Roman" w:hAnsi="Times New Roman"/>
          <w:sz w:val="24"/>
          <w:szCs w:val="24"/>
        </w:rPr>
        <w:t>идея развёртывания таких ракет в Европе в неядерном оснащении, что, по мысли соответствующих авторов, было бы менее дестабилизирующим в сравнении с развёртыванием ядерных ракет.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Достоинства ракет средней дальности именно наземного базирования были отражены в работах тех американских экспертов, которые утверждали, что Россия нарушает ДРСМД. Некоторые из тех специалистов утверждали, что США тоже требуются такие ракеты. Они указывали на следующие черты: (а) Большая скрытность и меньшая уязвимость комплексов с такими ракетами в сравнении с морскими или авиационными носителями ракет с такой дальностью. (б) Возможность использовать те многофункциональные носители ракет (корабли, подводные лодки или самолёты) для решения других задач без необходимости привязывать их к одному району [6; 10].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контраргументов против могли бы рассматриваться тезисы российской стороны. Во-первых, в случае развёртывания таких ракет в странах НАТО они, скорее всего, будут восприниматься Москвой именно как ядерные [3]. В частности, у ракеты “</w:t>
      </w:r>
      <w:r>
        <w:rPr>
          <w:rFonts w:cs="Times New Roman" w:ascii="Times New Roman" w:hAnsi="Times New Roman"/>
          <w:sz w:val="24"/>
          <w:szCs w:val="24"/>
          <w:lang w:val="en-US"/>
        </w:rPr>
        <w:t>Tomahawk</w:t>
      </w:r>
      <w:r>
        <w:rPr>
          <w:rFonts w:cs="Times New Roman" w:ascii="Times New Roman" w:hAnsi="Times New Roman"/>
          <w:sz w:val="24"/>
          <w:szCs w:val="24"/>
        </w:rPr>
        <w:t>” до 2011 г. имелся ядерный вариант. Это означало бы создание угрозы обезглавливающего удара по России. Подлётное время таких ракет из западной Европы составляло бы около 10-15 минут. Подобная ситуация, скорее всего, побудит руководство РФ перейти от доктрины ответно-встречного удара к доктрине упреждающего удара, что повысит вероятность ядерной войны [1].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Во-вторых, допустим, что НАТО развернёт именно неядерные ракеты средней дальности. Некоторые российские эксперты указывали на то, что даже в неядерном оснащении ракеты средней дальности могут угрожать работе объектов центрального хранения тактического ядерного оружия (ТЯО), расположенных в России к западу от Москвы. Исходя из сведений некоторых западных аналитиков, российские объекты центрального хранения ТЯО могут оказаться в радиусе действия ракет средней дальности, если таковые будут развёрнуты даже в западной части Германии [7]. Работа этих объектов центрального хранения может быть, как минимум, затруднена в результате ограниченного неядерного удара по ним [2]. Нет никаких гарантий того, что НАТО не решит в случае накала военно-политического кризиса предпринять подобный значимый шаг, чтобы предотвратить неизбежное, по мнению Брюсселя или Вашингтона, применение ТЯО со стороны России. Сама угроза такого развития событий будет только способствовать эскалации, а не стабилизации.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Подводя итоги, необходимо учесть, что порог применения неядерных ракет ниже, чем у ядерных. Такие ракеты могут, например, уничтожить военный корабль, радар, комплекс радиоэлектронной/радиотехнической разведки или радиоэлектронной борьбы, или на время вывести из строя сеть боевого управления или аэродром или какую-то часть энергетической инфраструктуры. Высокоточные неядерные ракеты могут дать возможность либо угрожать нанесением, либо нанести ограниченный, но политически чувствительный урон потенциальному противнику при относительно небольших или даже нулевых людских потерях у оппонента, послать ему чёткий сигнал, который, по мнению атакующего, вроде как не потребует ядерного ответа. Всё это говорит о том, что развёртывание таких ракет вполне вероятно. Хотя это повысит вероятность прямого вооружённого столкновения между НАТО и РФ, в условиях военно-политического кризиса одна из сторон может посчитать (корректно или ошибочно), что такие ракеты – незаменимое средство контроля эскалации, чтобы вынудить оппонента на политические уступки.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Генерал-полковник Виктор Есин: «Если американцы все-таки начнут разворачивать свои ракеты в Европе, нам ничего не останется, как отказаться от доктрины ответно-встречного удара и перейти к доктрине упреждающего удара» // Звезда, 08.11.2018.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Золотарёв П.С. Возможные подходы к снижению рисков ядерной эскалации на региональном уровне // Россия и Америка в </w:t>
      </w:r>
      <w:r>
        <w:rPr>
          <w:rFonts w:cs="Times New Roman" w:ascii="Times New Roman" w:hAnsi="Times New Roman"/>
          <w:sz w:val="24"/>
          <w:szCs w:val="24"/>
          <w:lang w:val="en-US"/>
        </w:rPr>
        <w:t>XXI</w:t>
      </w:r>
      <w:r>
        <w:rPr>
          <w:rFonts w:cs="Times New Roman" w:ascii="Times New Roman" w:hAnsi="Times New Roman"/>
          <w:sz w:val="24"/>
          <w:szCs w:val="24"/>
        </w:rPr>
        <w:t xml:space="preserve"> веке. 2021. № 3.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>: https://rusus.jes.su/s207054760017020-9-1/ (31.10.2023)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</w:rPr>
        <w:t>3. Комментарий Департамента информации и печати МИД России в связи с годовщиной прекращения действия Д</w:t>
      </w: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</w:rPr>
        <w:t>РСМД. МИД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РФ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, 03.08.2020.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4.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Griffith L. Biden should continue building intermediate-range missiles // Defense News, 23.12.2020.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5. Hunnicutt T., Holland S., Stone M. Do not let Putin win, Biden pleads with Republicans on Ukraine // Reuters, 07.12.2023.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6. McLeary P.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The Rest Of The Story: Trump, DoD &amp; Hill Readied INF Pullout For Years // Breaking Defense, 22.10.2018.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7. Podvig P. Nuclear Weapons in Europe after the INF Treat. Deep Cuts Issue Brief #10. June 2020.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8. Simon L., Lanoszka A. The Post-INF European Missile Balance: Thinking about NATO’s Deterrence Strategy // Texas National Security Review, 2020, Vol 3, Issue 3, p. 12-30.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9. Tucker P.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Expect a Missile Race After the INF Demise // Defense One, 31.01.2019.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10. Williams I. Leaving the INF Treaty Now Is the Right Call // CSIS, 24.10.2018.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b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b25e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3</Pages>
  <Words>898</Words>
  <Characters>5656</Characters>
  <CharactersWithSpaces>6535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2024-02-09T13:16:00Z</dcterms:created>
  <dc:creator>Криволапов Олег Олегович</dc:creator>
  <dc:description/>
  <dc:language>ru-RU</dc:language>
  <cp:lastModifiedBy/>
  <dcterms:modified xsi:type="dcterms:W3CDTF">2024-04-20T11:46:13Z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