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>
          <w:rFonts w:ascii="Times New Roman" w:hAnsi="Times New Roman" w:cs="Times New Roman"/>
          <w:b w:val="false"/>
          <w:color w:val="000000"/>
          <w:kern w:val="0"/>
          <w:sz w:val="28"/>
          <w:szCs w:val="28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8"/>
          <w:u w:val="none"/>
          <w:effect w:val="none"/>
          <w:shd w:fill="auto" w:val="clear"/>
        </w:rPr>
        <w:t>Влияние антироссийских санкций на "энергетический переход" Российской Федерации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Малов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.А.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Студент (магистр), 2024</w:t>
      </w:r>
    </w:p>
    <w:p>
      <w:pPr>
        <w:pStyle w:val="Style16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vitmal2000@yandex.ru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 xml:space="preserve">Антироссийские санкции, направленные в своей основе против углеводородной базы Российской Федерации, тем не менее не обошли сектор возобновляемой энергетики. Основной проблемой ВИЭ в России представляется сокращение или полное прекращение взаимодействия на различных уровнях: от технологического до политического. В том числе, в обмене передовыми технологиями, доступе к программному обеспечению, поставках компонентов, обеспечению экспертного контроля при пусконаладочный работах.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>В работе рассмотрено влияние санкций, введённых коллективным Западом с 2022 года. Антироссийские шаги в энергетической сфере предпринимались ещё в 2014 году, однако наиболее явно эффекты этих действий проявились после введения ограничений на импорт российских углеводородов, а также ряда пакетов санкций, введенных Евросоюзом после начала специальной военной операции.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 xml:space="preserve">Фактически, на официальном уровне не было принято прямых ограничений в сфере возобновляемой энергетики. Следует отметить, что этот сектор, как и взаимодействие по противодействию изменению климата, виделся одним из наиболее перспективных в сотрудничестве России и Запада, способным стать толчком к нормализации отношений. Однако в результате политически ангажированных шагов зарубежные компании и инвесторы были вынуждены снизить свою активность или полностью свернуть деятельность на территории России.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>За 2021 год, до введения рассматриваемых антироссийских санкций, по оценкам Системного оператора Единой Энергетической Системы, общая произведённая электроэнергия на основе ВИЭ составила 1114548 гВт∙ч, из них на ВИЭ (т.е. без учёта выработки на АЭС и ТЭС) было выработано 215395,2 гВт∙ч. Потребление электроэнергии в 2021 году составило 1090440 гВт∙ч [2]. Таким образом, доля генерации на ВИЭ составила 19,75% от общего энергопотребления. В 2023 году потребление электроэнергии составило 1121600 гВт∙ч [4]. По данным Ирена, производство электроэнергии на основе ВИЭ составило 220264 ГВт∙ч [6]. Таким образом, процент генерации на ВИЭ в 2023 году составил 19,63% от общего энергопотребления. Рост энергопотребления нивелировал увеличение установленных мощностей ВИЭ-генерации.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 xml:space="preserve">Возобновляемая энергетика в России столкнулась с давлением санкционного режима в виде повышения удельных капитальных затрат, роста цен на оборудование и компоненты, отказа в доступе к необходимому программному обеспечению (программный комплекс WindPRO), отсутствию иностранных специалистов при пусконаладочных работах. Побочным эффектом также стал перенос сроков введения мощностей ВИЭ, увеличение капитальных затрат на строительство проектов ВИЭ-генерации и общему росту стоимости проектов в среднем на 24-35% [5]. Всё это вынудило Российскую Федерацию вносить коррективы в реализацию проектов ВИЭ-генерации.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>Отечественные компании были вынуждены перестраивать логистические цепочки, изменять условия финансирования, искать новых поставщиков оборудования и программного обеспечения, или же развивать отечественное производство необходимой продукции (замещение ГК Роскосмос производства лопастей компании Vestas, развитие производства постоянных магнитов, создание промышленного комплекса серийного производства кремниевых пластин российскими компаниями «Хевел» и «Юнигрин Энерджи»).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>В марте 2022 года Правительство приняло антикризисные меры [1], позволившие свести до минимума отказы от строительства объектов в рамках программы ДПМ ВИЭ, «сдвинув вправо» их реализацию. Из 900 МВт запланированных на ввод мощностей, реальный показатель составил 378 Мвт, почти в 2.5 раза меньше. Однако реализация остального объёма была не отменена, а перенесена на более поздний срок. Таким образом удалось сохранить 92 из 106 договоров [5].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 xml:space="preserve">В результате санкционного давления темпы ввода в эксплуатацию объектов ВИЭ-генерации замедлились. В 2020 и 2021 вводилось по 1.2 ГВт [5], в 2022 - 412,3 МВт [3], в 2023 - 340,3 МВт [4]. В 2023 - совокупная установленная мощность объектов ВИЭ-генерации составляет 6,12 ГВт, где ВЭС - 2.5 ГВт, СЭС - 2.2 ГВт, МГЭС - 1.3 ГВт [4], что на 16,6 процентов больше показателей 2021 года.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ab/>
        <w:t>Темпы, с которыми российская возобновляемая энергетика перестраивается под новые условия работы в санкционном режиме, внушают уверенность в том, что отрасль имеет устойчивый фундамент и может уверенно противостоять самым серьезным угрозам. Отрасль возобновляемой энергетики успешно справилась с беспрецедентными вызовами 2022 года, что подтверждается результатами конкурсного отбора по программе ДПМ ВИЭ. В сегментах СЭС и ВЭС в совокупности были отобраны мощности на более чем 1825 МВт, что на 300 МВт выше плана [5].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kern w:val="0"/>
          <w:sz w:val="28"/>
          <w:szCs w:val="28"/>
        </w:rPr>
        <w:t>Библиографический список.</w:t>
      </w: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Постановление Правительства РФ № 912 (от 20.05.2022) «О внесении изменений в некоторые акты Правительства Российской Федерации в целях установления особенностей правового регулирования отношений в сферах электроэнергетики, тепло-, газо-, водоснабжения и водоотведения» [Электронный ресурс]: сайт правовой системы Консультант Плюс: https://base.garant.ru/404724771/.</w:t>
      </w:r>
    </w:p>
    <w:p>
      <w:pPr>
        <w:pStyle w:val="Normal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</w:r>
    </w:p>
    <w:p>
      <w:pPr>
        <w:pStyle w:val="Normal"/>
        <w:spacing w:before="0" w:after="24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АРВЭ. Ежеквартальный информационный обзор рынка ВИЭ в России. IV квартал 2021. [Электронный ресурс]. - 2021. - Режим доступа: https://rreda.ru/products/quarterly-reviews/review-424, дата доступа: 10.02.2024.</w:t>
      </w:r>
    </w:p>
    <w:p>
      <w:pPr>
        <w:pStyle w:val="Normal"/>
        <w:spacing w:before="0" w:after="24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АРВЭ. Ежеквартальный информационный обзор рынка ВИЭ в России. IV квартал 2022. [Электронный ресурс]. - 2022. - Режим доступа: https://rreda.ru/products/quarterly-reviews/review-407, дата доступа: 12.02.2024.</w:t>
      </w:r>
    </w:p>
    <w:p>
      <w:pPr>
        <w:pStyle w:val="Normal"/>
        <w:spacing w:before="0" w:after="24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АРВЭ. Ежеквартальный информационный обзор рынка ВИЭ в России. IV квартал 2023. [Электронный ресурс]. - 2023. - Режим доступа: </w:t>
      </w:r>
      <w:r>
        <w:rPr>
          <w:rFonts w:cs="Times New Roman" w:ascii="Times New Roman" w:hAnsi="Times New Roman"/>
          <w:sz w:val="28"/>
          <w:szCs w:val="28"/>
        </w:rPr>
        <w:t>https://rreda.ru/products/quarterly-reviews/review-1552</w:t>
      </w: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, дата доступа: 12.02.2024.</w:t>
      </w:r>
    </w:p>
    <w:p>
      <w:pPr>
        <w:pStyle w:val="Normal"/>
        <w:spacing w:before="0" w:after="24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АРВЭ. Информационный бюллетень. Рынок возобновляемой энергетики России: текущий статус и перспективы развития. - 2023. - Режим доступа: </w:t>
      </w:r>
      <w:r>
        <w:rPr>
          <w:rFonts w:cs="Times New Roman" w:ascii="Times New Roman" w:hAnsi="Times New Roman"/>
          <w:sz w:val="28"/>
          <w:szCs w:val="28"/>
        </w:rPr>
        <w:t>https://rreda.ru/products/yearly-reviews/review-776?sphrase_id=410</w:t>
      </w: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, дата доступа: 10.12.2024.</w:t>
      </w:r>
    </w:p>
    <w:p>
      <w:pPr>
        <w:pStyle w:val="Normal"/>
        <w:spacing w:before="0" w:after="24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>IRENA. Renewable energy statistics 2023. [Электронный ресурс]. - 2023. - Режим доступа: https://www.irena.org/Publications/2023/Jul/Renewable-energy-statistics-2023, дата доступа: 11.02.2024.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86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862d4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c08c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Pages>3</Pages>
  <Words>762</Words>
  <Characters>5504</Characters>
  <CharactersWithSpaces>6259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2024-02-15T21:38:00Z</dcterms:created>
  <dc:creator>Антон Малов</dc:creator>
  <dc:description/>
  <dc:language>ru-RU</dc:language>
  <cp:lastModifiedBy/>
  <dcterms:modified xsi:type="dcterms:W3CDTF">2024-04-20T11:48:51Z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