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88"/>
        <w:ind w:hanging="1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Hlk115299225"/>
      <w:r>
        <w:rPr>
          <w:rFonts w:cs="Times New Roman" w:ascii="Times New Roman" w:hAnsi="Times New Roman"/>
          <w:b/>
          <w:bCs/>
          <w:sz w:val="24"/>
          <w:szCs w:val="24"/>
        </w:rPr>
        <w:t xml:space="preserve">Роль и влияние России на атомную энергетическую отрасль Китая </w:t>
      </w:r>
    </w:p>
    <w:p>
      <w:pPr>
        <w:pStyle w:val="Normal"/>
        <w:spacing w:lineRule="auto" w:line="240" w:before="0" w:after="188"/>
        <w:ind w:hanging="1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Змеев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 М.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И.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Студент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международной безопасности, Студент (бакалавр), 2024</w:t>
      </w:r>
    </w:p>
    <w:p>
      <w:pPr>
        <w:pStyle w:val="Style19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forwardmatvey25@mail.ru</w:t>
      </w:r>
    </w:p>
    <w:p>
      <w:pPr>
        <w:pStyle w:val="Default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Китайская Народная Республика является второй экономикой мира и крупнейшим производителем электроэнергии, однако большая ее часть производится на ТЭС, что приводит к серьезным экологическим проблемам. На данный момент КНР является лидером по выбросам СО</w:t>
      </w:r>
      <w:r>
        <w:rPr>
          <w:rFonts w:eastAsia="Times New Roman" w:cs="Times New Roman" w:ascii="Times New Roman" w:hAnsi="Times New Roman"/>
          <w:bCs/>
          <w:vertAlign w:val="subscript"/>
          <w:lang w:eastAsia="ru-RU"/>
        </w:rPr>
        <w:t>2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 и других парниковых газов в атмосферу. Но согласно обязательствам, принятым в рамках различных энергетических соглашений, к 2060 г. страна должна достичь углеродной нейтральности, что является сложной задачей в условиях серьезной зависимости от ископаемых видов топлива.</w:t>
      </w:r>
    </w:p>
    <w:p>
      <w:pPr>
        <w:pStyle w:val="Default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Наиболее перспективным и выгодным вариантом является увеличение доли атомной генерации, поскольку мирный атом способен производить экологически чистую электроэнергию независимо от природных условий. Именно поэтому к 2035 г. Пекин планирует довести долю атомной энергетики до 10% от общего энергобаланса [7]. Однако в развитии своего ядерного энергетического потенциала Поднебесная сталкивается с рядом трудностей, в частности с зависимостью от иностранных технологий и инфраструктуры. Особенно остро стоит вопрос зависимости от России, которая является одним из ключевых поставщиков ядерных технологий и оборудования.</w:t>
      </w:r>
    </w:p>
    <w:p>
      <w:pPr>
        <w:pStyle w:val="Default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Реализация атомной программы Китайской Народной Республики ведется с </w:t>
        <w:br/>
        <w:t>1950-х гг. С самого начала своего становления китайская атомная промышленность создавалась в тесном сотрудничестве с советскими специалистами. Начальным этапом сотрудничества между Россией и Китаем в сфере атомной энергетики являлось межправительственное соглашение о строительстве на территории </w:t>
      </w:r>
      <w:hyperlink r:id="rId2" w:tgtFrame="Китай">
        <w:r>
          <w:rPr>
            <w:rFonts w:eastAsia="Times New Roman" w:cs="Times New Roman" w:ascii="Times New Roman" w:hAnsi="Times New Roman"/>
            <w:bCs/>
            <w:lang w:eastAsia="ru-RU"/>
          </w:rPr>
          <w:t>Китая</w:t>
        </w:r>
      </w:hyperlink>
      <w:r>
        <w:rPr>
          <w:rFonts w:eastAsia="Times New Roman" w:cs="Times New Roman" w:ascii="Times New Roman" w:hAnsi="Times New Roman"/>
          <w:bCs/>
          <w:lang w:eastAsia="ru-RU"/>
        </w:rPr>
        <w:t xml:space="preserve"> двух энергоблоков с реакторами ВВЭР-1000 на АЭС «Тяньвань», а также завода по обогащению урана по российской технологии (</w:t>
      </w:r>
      <w:hyperlink r:id="rId3" w:tgtFrame="Россия">
        <w:r>
          <w:rPr>
            <w:rFonts w:eastAsia="Times New Roman" w:cs="Times New Roman" w:ascii="Times New Roman" w:hAnsi="Times New Roman"/>
            <w:bCs/>
            <w:lang w:eastAsia="ru-RU"/>
          </w:rPr>
          <w:t>Россия</w:t>
        </w:r>
      </w:hyperlink>
      <w:r>
        <w:rPr>
          <w:rFonts w:eastAsia="Times New Roman" w:cs="Times New Roman" w:ascii="Times New Roman" w:hAnsi="Times New Roman"/>
          <w:bCs/>
          <w:lang w:eastAsia="ru-RU"/>
        </w:rPr>
        <w:t xml:space="preserve"> была единственным обладателем технологии обогащения урана при помощи газовых центрифуг) [8]. Несмотря на очень сложное экономическое положение внутри страны в начале 1990-х гг. критические ядерные технологии реакторов и газовых центрифуг Москва китайским заказчикам не передала [5]. Это является серьезной проблемой для КНР, так как большая часть прибавочной стоимости от любого контракта остается у Госкорпорации «Росатом», а Поднебесная получает только надежный энергоблок или ядерный объект без возможности самостоятельного строительства, что значительно увеличивает его зависимость от российских комплектующих, технологий и инфраструктуры. </w:t>
      </w:r>
    </w:p>
    <w:p>
      <w:pPr>
        <w:pStyle w:val="Default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Пытаясь оказать давление на РФ Пекин приостановил сотрудничество по АЭС «Тяньвань» в середине 2010-х гг. Китай решил самостоятельно построить пятый и шестой энергоблоки, но после неудачного опыта был вынужден снова обратиться за помощью к Росатому для строительства седьмого и восьмого энергоблоков с реакторами ВВЭР-1200 [2]. Такие же реакторы строятся на третьем и четвертом блоках АЭС «Сюйдапу» вместо американских реакторов </w:t>
      </w:r>
      <w:r>
        <w:rPr>
          <w:rFonts w:eastAsia="Times New Roman" w:cs="Times New Roman" w:ascii="Times New Roman" w:hAnsi="Times New Roman"/>
          <w:bCs/>
          <w:lang w:val="en-US" w:eastAsia="ru-RU"/>
        </w:rPr>
        <w:t>AP</w:t>
      </w:r>
      <w:r>
        <w:rPr>
          <w:rFonts w:eastAsia="Times New Roman" w:cs="Times New Roman" w:ascii="Times New Roman" w:hAnsi="Times New Roman"/>
          <w:bCs/>
          <w:lang w:eastAsia="ru-RU"/>
        </w:rPr>
        <w:t xml:space="preserve">-1000, которые должны были быть построены изначально [6]. </w:t>
      </w:r>
      <w:bookmarkEnd w:id="0"/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ru-RU"/>
        </w:rPr>
      </w:pPr>
      <w:bookmarkStart w:id="1" w:name="_Hlk115299241"/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>С 1990-х годов КНР является крупнейшим зарубежным заказчиком российской атомной отрасли, и с каждым годом портфель заказов только растет из-за чего зависимость от российских технологий увеличивается.</w:t>
      </w:r>
      <w:bookmarkEnd w:id="1"/>
      <w:r>
        <w:rPr>
          <w:rFonts w:eastAsia="Times New Roman" w:cs="Times New Roman"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Отсутствие допуска Поднебесной к российским технология и чертежам является одной из основных причин отставания Пекина в ядерных технологиях от Москвы и других ядерных держав. Например, сейчас Россия осваивает 10 поколение газовых центрифуг, в то время как в Китае до сих пор используются центрифуги 6 поколения, построенные по российским технологиям в 1990-х гг. [5].  Несмотря на это Китайская Республика заинтересована в дальнейшем взаимодействии с РФ, поскольку при помощи Росатома Китай удовлетворяет потребности страны в дешевой и экологически </w:t>
      </w:r>
      <w:r>
        <w:rPr>
          <w:rFonts w:eastAsia="Times New Roman" w:cs="Times New Roman" w:ascii="Times New Roman" w:hAnsi="Times New Roman"/>
          <w:bCs/>
          <w:color w:val="000000"/>
          <w:spacing w:val="-5"/>
          <w:sz w:val="24"/>
          <w:szCs w:val="24"/>
          <w:lang w:eastAsia="ru-RU"/>
        </w:rPr>
        <w:t>чистой электроэнергии, производимой на АЭС и других аспектах ядерного топливного цикла.</w:t>
      </w:r>
      <w:r>
        <w:rPr>
          <w:rFonts w:eastAsia="Times New Roman" w:cs="Times New Roman"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Для преодоления технологического отставания и снижения зависимости от Росатома </w:t>
      </w:r>
      <w:r>
        <w:rPr>
          <w:rFonts w:eastAsia="Times New Roman" w:cs="Times New Roman" w:ascii="Times New Roman" w:hAnsi="Times New Roman"/>
          <w:bCs/>
          <w:color w:val="000000"/>
          <w:spacing w:val="-5"/>
          <w:sz w:val="24"/>
          <w:szCs w:val="24"/>
          <w:lang w:eastAsia="ru-RU"/>
        </w:rPr>
        <w:t>Поднебесная стала инвестировать значительные средства в собственный научно-технический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потенциал и ядерную промышленность, а также расширила круг партнеров. Китай обладает целым набором качественных технологий, заимствованных в других странах и разработанных самостоятельно, что позволит в недалеком будущем предлагать больший выбор ядерной продукции, удовлетворяя различные «вкусы» международных заказчиков.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Для диверсификации импорта иностранных ядерных продуктов Китай осваивает не только российские технологии, но и французские и американские. В отличие от Росатома, западные компании передают Поднебесной собственные технологии, наработки и чертежи, что помогает Пекину адаптировать западную продукцию под собственные нужды и проводить политику ассимиляции технологий.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Самой распространённой технологией на данный момент являются реакторы 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CPR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-1000. Это собственная разработка Китая, базирующаяся на французской конструкции 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M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310 [1]. Также Китай обладает полными правами собственности на реакторы 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 поколения 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ACPR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-1000 (два энергоблока с этим реакторами были введены в промышленную эксплуатацию в 2018 и 2019 гг. на АЭС «Янцзян») [4]. Впоследствии реакторы 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ACP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-1000 и 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ACPR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-1000 были объединены в конструкцию 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val="en-US" w:eastAsia="ru-RU"/>
        </w:rPr>
        <w:t>HPR</w:t>
      </w: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-1000 (реактор «Хуалун») для предложения его на экспорт по всему миру [3].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Тем не менее, несмотря на огромные инвестиции и затраченные усилия в развитие собственных ядерных технологий и проектов китайские объекты ядерной промышленности все еще отстают от российской продукции, предлагаемой Росатомом, по ряду ключевых характеристик. Некоторые из них включают в себя уровень безопасности, эффективность использования ядерного топлива, экономическую эффективность и степень совершенства технологий. Однако с каждым годом технологический разрыв уменьшается, а китайские технологии становятся все более конкурентоспособными и привлекательными для потенциальных партнеров, претендуя на глобальную экспансию. </w:t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pacing w:val="-2"/>
          <w:sz w:val="24"/>
          <w:szCs w:val="24"/>
          <w:lang w:eastAsia="ru-RU"/>
        </w:rPr>
      </w:r>
    </w:p>
    <w:p>
      <w:pPr>
        <w:pStyle w:val="Normal"/>
        <w:spacing w:lineRule="auto" w:line="240" w:before="0" w:after="16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Список использованных источников и литературы:</w:t>
      </w:r>
    </w:p>
    <w:p>
      <w:pPr>
        <w:pStyle w:val="ListParagraph"/>
        <w:numPr>
          <w:ilvl w:val="0"/>
          <w:numId w:val="1"/>
        </w:numPr>
        <w:spacing w:lineRule="auto" w:line="232"/>
        <w:ind w:left="709" w:hanging="357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bookmarkStart w:id="2" w:name="_GoBack"/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Басханов Д. Сотрудничество и конкуренция Российской Федерации и Китайской Народной Республики в сфере атомной энергетики // Российская академия народного хозяйства и государственной службы при Президенте Российской Федерации (РАНХиГС при Президенте РФ). 2021. №1. С. 132-142 </w:t>
      </w:r>
      <w:r>
        <w:rPr>
          <w:rFonts w:cs="Times New Roman" w:ascii="Times New Roman" w:hAnsi="Times New Roman"/>
          <w:sz w:val="24"/>
          <w:szCs w:val="24"/>
        </w:rPr>
        <w:t>(дата обращения: 28.02.2024)</w:t>
      </w:r>
    </w:p>
    <w:p>
      <w:pPr>
        <w:pStyle w:val="ListParagraph"/>
        <w:numPr>
          <w:ilvl w:val="0"/>
          <w:numId w:val="1"/>
        </w:numPr>
        <w:spacing w:lineRule="auto" w:line="232"/>
        <w:ind w:left="709" w:hanging="35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Жучкова Т. Перспективы сотрудничества России и Китая в сфере атомной энергетики // РГУ нефти и газа им. И.М. Губкина. 2020. №1. С. 66-69 </w:t>
      </w:r>
      <w:r>
        <w:rPr>
          <w:rFonts w:cs="Times New Roman" w:ascii="Times New Roman" w:hAnsi="Times New Roman"/>
          <w:sz w:val="24"/>
          <w:szCs w:val="24"/>
        </w:rPr>
        <w:t>(дата обращения: 27.02.2024)</w:t>
      </w:r>
    </w:p>
    <w:p>
      <w:pPr>
        <w:pStyle w:val="ListParagraph"/>
        <w:numPr>
          <w:ilvl w:val="0"/>
          <w:numId w:val="1"/>
        </w:numPr>
        <w:spacing w:lineRule="auto" w:line="232"/>
        <w:ind w:left="709" w:hanging="35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Заклязьминская Е. Экспорт ядерно-энергетических технологий КНР // институт мировой экономики и международных отношений РАН. 2021. №2. С. 121-142 </w:t>
      </w:r>
      <w:r>
        <w:rPr>
          <w:rFonts w:cs="Times New Roman" w:ascii="Times New Roman" w:hAnsi="Times New Roman"/>
          <w:sz w:val="24"/>
          <w:szCs w:val="24"/>
        </w:rPr>
        <w:t>(дата обращения: 29.02.2024)</w:t>
      </w:r>
    </w:p>
    <w:p>
      <w:pPr>
        <w:pStyle w:val="ListParagraph"/>
        <w:numPr>
          <w:ilvl w:val="0"/>
          <w:numId w:val="1"/>
        </w:numPr>
        <w:spacing w:lineRule="auto" w:line="232"/>
        <w:ind w:left="709" w:hanging="35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Шарипов Ф. Современное состояние и перспективы атомной энергетики КНР // Государственный университет управления // Вестник университета. 2021. № 10. С. 104-108 </w:t>
      </w:r>
      <w:r>
        <w:rPr>
          <w:rFonts w:cs="Times New Roman" w:ascii="Times New Roman" w:hAnsi="Times New Roman"/>
          <w:sz w:val="24"/>
          <w:szCs w:val="24"/>
        </w:rPr>
        <w:t>(дата обращения: 28.02.2024)</w:t>
      </w:r>
    </w:p>
    <w:p>
      <w:pPr>
        <w:pStyle w:val="ListParagraph"/>
        <w:numPr>
          <w:ilvl w:val="0"/>
          <w:numId w:val="1"/>
        </w:numPr>
        <w:spacing w:lineRule="auto" w:line="232"/>
        <w:ind w:left="709" w:hanging="357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Атомные станции Китая // </w:t>
      </w:r>
      <w:r>
        <w:rPr>
          <w:rFonts w:cs="Times New Roman" w:ascii="Times New Roman" w:hAnsi="Times New Roman"/>
          <w:sz w:val="24"/>
          <w:szCs w:val="24"/>
          <w:lang w:val="en-US"/>
        </w:rPr>
        <w:t>Tadviser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 xml:space="preserve">. 06.2018. </w:t>
      </w:r>
      <w:r>
        <w:rPr>
          <w:rFonts w:cs="Times New Roman" w:ascii="Times New Roman" w:hAnsi="Times New Roman"/>
          <w:sz w:val="24"/>
          <w:szCs w:val="24"/>
          <w:lang w:val="en-US"/>
        </w:rPr>
        <w:t>URL</w:t>
      </w:r>
      <w:r>
        <w:rPr>
          <w:rFonts w:cs="Times New Roman" w:ascii="Times New Roman" w:hAnsi="Times New Roman"/>
          <w:sz w:val="24"/>
          <w:szCs w:val="24"/>
        </w:rPr>
        <w:t xml:space="preserve">:  </w:t>
      </w:r>
      <w:r>
        <w:fldChar w:fldCharType="begin"/>
      </w:r>
      <w:r>
        <w:rPr>
          <w:sz w:val="24"/>
          <w:szCs w:val="24"/>
          <w:bCs/>
          <w:rFonts w:eastAsia="Times New Roman" w:cs="Times New Roman" w:ascii="Times New Roman" w:hAnsi="Times New Roman"/>
          <w:lang w:val="en-US" w:eastAsia="ru-RU"/>
        </w:rPr>
        <w:instrText xml:space="preserve"> HYPERLINK "https://www.tadviser.ru/index.php/Статья:Атомные_станции_Китая" \l ".D0.A0.D0.BE.D1.81.D0.B0.D1.82.D0.BE.D0.BC_.D0.BE.D0.B1.D0.BE.D1.88.D0.B5.D0.BB_.D0.BA.D0.BE.D0.BD.D0.BA.D1.83.D1.80.D0.B5.D0.BD.D1.82.D0.BE.D0.B2_.D0.B8.D0.B7_.D0.A1.D0.A8.D0.90_.D0.B8_.D0.A4.D1.80.D0.B0.D0.BD.D1.86.D0.B8.D0.B8_.D0.BD.D0.B0_.D1.8F.D0.B4."</w:instrText>
      </w:r>
      <w:r>
        <w:rPr>
          <w:sz w:val="24"/>
          <w:szCs w:val="24"/>
          <w:bCs/>
          <w:rFonts w:eastAsia="Times New Roman" w:cs="Times New Roman" w:ascii="Times New Roman" w:hAnsi="Times New Roman"/>
          <w:lang w:val="en-US" w:eastAsia="ru-RU"/>
        </w:rPr>
        <w:fldChar w:fldCharType="separate"/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https</w:t>
      </w:r>
      <w:r>
        <w:rPr>
          <w:sz w:val="24"/>
          <w:szCs w:val="24"/>
          <w:bCs/>
          <w:rFonts w:eastAsia="Times New Roman" w:cs="Times New Roman" w:ascii="Times New Roman" w:hAnsi="Times New Roman"/>
          <w:lang w:val="en-US"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://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www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tadviser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ru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/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index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php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/Статья:Атомные_станции_Китая#.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1.81.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1.82.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BC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1.88.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5.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1.83.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5.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1.82.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2_.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8.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7_.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8.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0.90_.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8_.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1.86.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8.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8_.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F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5.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BE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BC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1.8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B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5_.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0.9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0.9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D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0.</w:t>
      </w: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ru-RU"/>
        </w:rPr>
        <w:t>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0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(дата обращения: 27.02.2024)</w:t>
      </w:r>
    </w:p>
    <w:p>
      <w:pPr>
        <w:pStyle w:val="ListParagraph"/>
        <w:numPr>
          <w:ilvl w:val="0"/>
          <w:numId w:val="1"/>
        </w:numPr>
        <w:spacing w:lineRule="auto" w:line="232"/>
        <w:ind w:left="709" w:hanging="357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АЭС «Сюйдапу» (Китай) // АСЭ Росатом. 2024 </w:t>
      </w:r>
      <w:r>
        <w:rPr>
          <w:rFonts w:cs="Times New Roman" w:ascii="Times New Roman" w:hAnsi="Times New Roman"/>
          <w:sz w:val="24"/>
          <w:szCs w:val="24"/>
          <w:lang w:val="en-US"/>
        </w:rPr>
        <w:t>URL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hyperlink r:id="rId4"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https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://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ase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-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ec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ru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/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about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/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projects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/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aes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-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syuydapu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/</w:t>
        </w:r>
      </w:hyperlink>
      <w:r>
        <w:rPr>
          <w:rStyle w:val="Style13"/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(дата обращения: 28.02.2024)</w:t>
      </w:r>
    </w:p>
    <w:p>
      <w:pPr>
        <w:pStyle w:val="ListParagraph"/>
        <w:numPr>
          <w:ilvl w:val="0"/>
          <w:numId w:val="1"/>
        </w:numPr>
        <w:spacing w:lineRule="auto" w:line="232"/>
        <w:ind w:left="709" w:hanging="357"/>
        <w:jc w:val="both"/>
        <w:rPr>
          <w:rStyle w:val="Style13"/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val="en-US" w:eastAsia="ru-RU"/>
        </w:rPr>
      </w:pPr>
      <w:r>
        <w:rPr>
          <w:rStyle w:val="Style13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  <w:t xml:space="preserve">К 2035 г. Китай в 2 раза увеличит долю АЭС в энергетическом балансе страны // </w:t>
      </w:r>
      <w:r>
        <w:rPr>
          <w:rStyle w:val="Style13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val="en-US" w:eastAsia="ru-RU"/>
        </w:rPr>
        <w:t>Neftegaz</w:t>
      </w:r>
      <w:r>
        <w:rPr>
          <w:rStyle w:val="Style13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  <w:t>.</w:t>
      </w:r>
      <w:r>
        <w:rPr>
          <w:rStyle w:val="Style13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val="en-US" w:eastAsia="ru-RU"/>
        </w:rPr>
        <w:t>ru</w:t>
      </w:r>
      <w:r>
        <w:rPr>
          <w:rStyle w:val="Style13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  <w:t xml:space="preserve">. 11.2022. </w:t>
      </w:r>
      <w:r>
        <w:rPr>
          <w:rStyle w:val="Style13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val="en-US" w:eastAsia="ru-RU"/>
        </w:rPr>
        <w:t xml:space="preserve">URL: </w:t>
      </w:r>
      <w:hyperlink r:id="rId5"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https://neftegaz.ru/news/nuclear/757498-k-2035-g-kitay-udvoit-dolyu-aes-v-energeticheskom-balanse-strany/?ysclid=lt7o48ropu801678610</w:t>
        </w:r>
      </w:hyperlink>
      <w:r>
        <w:rPr>
          <w:rStyle w:val="Style13"/>
          <w:rFonts w:eastAsia="Times New Roman" w:cs="Times New Roman" w:ascii="Times New Roman" w:hAnsi="Times New Roman"/>
          <w:bCs/>
          <w:color w:val="000000"/>
          <w:sz w:val="24"/>
          <w:szCs w:val="24"/>
          <w:u w:val="none"/>
          <w:lang w:val="en-US"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32" w:before="0" w:after="160"/>
        <w:ind w:left="709" w:hanging="357"/>
        <w:contextualSpacing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Тяньванская АЭС (Китай) // АСЭ Росатом. 2024. </w:t>
      </w:r>
      <w:r>
        <w:rPr>
          <w:rFonts w:cs="Times New Roman" w:ascii="Times New Roman" w:hAnsi="Times New Roman"/>
          <w:sz w:val="24"/>
          <w:szCs w:val="24"/>
          <w:lang w:val="en-US"/>
        </w:rPr>
        <w:t>URL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hyperlink r:id="rId6"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https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://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ase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-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ec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ru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/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about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/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projects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/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aes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-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val="en-US" w:eastAsia="ru-RU"/>
          </w:rPr>
          <w:t>tyanvan</w:t>
        </w:r>
        <w:r>
          <w:rPr>
            <w:rFonts w:eastAsia="Times New Roman" w:cs="Times New Roman" w:ascii="Times New Roman" w:hAnsi="Times New Roman"/>
            <w:bCs/>
            <w:sz w:val="24"/>
            <w:szCs w:val="24"/>
            <w:lang w:eastAsia="ru-RU"/>
          </w:rPr>
          <w:t>/</w:t>
        </w:r>
      </w:hyperlink>
      <w:r>
        <w:rPr>
          <w:rStyle w:val="Style13"/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(дата обращения: 27.02.2024)</w:t>
      </w:r>
      <w:bookmarkEnd w:id="2"/>
    </w:p>
    <w:sectPr>
      <w:type w:val="nextPage"/>
      <w:pgSz w:w="11906" w:h="16838"/>
      <w:pgMar w:left="1361" w:right="136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e09d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next w:val="Normal"/>
    <w:link w:val="11"/>
    <w:uiPriority w:val="9"/>
    <w:qFormat/>
    <w:rsid w:val="00b55a33"/>
    <w:pPr>
      <w:keepNext w:val="true"/>
      <w:keepLines/>
      <w:widowControl/>
      <w:bidi w:val="0"/>
      <w:spacing w:lineRule="auto" w:line="259" w:before="0" w:after="0"/>
      <w:ind w:left="94" w:hanging="10"/>
      <w:jc w:val="center"/>
      <w:outlineLvl w:val="0"/>
    </w:pPr>
    <w:rPr>
      <w:rFonts w:ascii="Calibri" w:hAnsi="Calibri" w:eastAsia="Calibri" w:cs="Calibri"/>
      <w:i/>
      <w:color w:val="000000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bd3b33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b55a33"/>
    <w:rPr>
      <w:rFonts w:ascii="Calibri" w:hAnsi="Calibri" w:eastAsia="Calibri" w:cs="Calibri"/>
      <w:i/>
      <w:color w:val="000000"/>
      <w:sz w:val="24"/>
      <w:szCs w:val="24"/>
      <w:lang w:eastAsia="ru-RU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4c3889"/>
    <w:rPr>
      <w:color w:val="954F72" w:themeColor="followedHyperlink"/>
      <w:u w:val="single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125038"/>
    <w:rPr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125038"/>
    <w:rPr>
      <w:vertAlign w:val="superscript"/>
    </w:rPr>
  </w:style>
  <w:style w:type="character" w:styleId="Style17">
    <w:name w:val="Привязка сноски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39b5"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0e09d0"/>
    <w:pPr>
      <w:widowControl/>
      <w:bidi w:val="0"/>
      <w:spacing w:lineRule="auto" w:line="240" w:before="0" w:after="0"/>
      <w:jc w:val="left"/>
    </w:pPr>
    <w:rPr>
      <w:rFonts w:ascii="Cambria" w:hAnsi="Cambria" w:cs="Cambria" w:eastAsia="Calibri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d3b33"/>
    <w:pPr>
      <w:spacing w:before="0" w:after="160"/>
      <w:ind w:left="720" w:hanging="0"/>
      <w:contextualSpacing/>
    </w:pPr>
    <w:rPr/>
  </w:style>
  <w:style w:type="paragraph" w:styleId="Style23">
    <w:name w:val="Footnote Text"/>
    <w:basedOn w:val="Normal"/>
    <w:link w:val="Style15"/>
    <w:uiPriority w:val="99"/>
    <w:semiHidden/>
    <w:unhideWhenUsed/>
    <w:rsid w:val="0012503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adviser.ru/index.php/&#1050;&#1080;&#1090;&#1072;&#1081;" TargetMode="External"/><Relationship Id="rId3" Type="http://schemas.openxmlformats.org/officeDocument/2006/relationships/hyperlink" Target="https://www.tadviser.ru/index.php/&#1056;&#1086;&#1089;&#1089;&#1080;&#1103;" TargetMode="External"/><Relationship Id="rId4" Type="http://schemas.openxmlformats.org/officeDocument/2006/relationships/hyperlink" Target="https://ase-ec.ru/about/projects/aes-syuydapu/" TargetMode="External"/><Relationship Id="rId5" Type="http://schemas.openxmlformats.org/officeDocument/2006/relationships/hyperlink" Target="https://neftegaz.ru/news/nuclear/757498-k-2035-g-kitay-udvoit-dolyu-aes-v-energeticheskom-balanse-strany/?ysclid=lt7o48ropu801678610" TargetMode="External"/><Relationship Id="rId6" Type="http://schemas.openxmlformats.org/officeDocument/2006/relationships/hyperlink" Target="https://ase-ec.ru/about/projects/aes-tyanvan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51B4-BE2C-448D-99D2-472ED01F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LibreOffice/7.3.7.2$Linux_X86_64 LibreOffice_project/30$Build-2</Application>
  <AppVersion>15.0000</AppVersion>
  <Pages>3</Pages>
  <Words>913</Words>
  <Characters>6832</Characters>
  <CharactersWithSpaces>7726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2022-09-29T15:01:00Z</dcterms:created>
  <dc:creator>Матвей Змеев</dc:creator>
  <dc:description/>
  <dc:language>ru-RU</dc:language>
  <cp:lastModifiedBy/>
  <dcterms:modified xsi:type="dcterms:W3CDTF">2024-04-20T11:40:54Z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