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ind w:left="0" w:right="0" w:firstLine="709"/>
        <w:jc w:val="center"/>
        <w:rPr>
          <w:b w:val="false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Потенциал трансформации комплексной безопасности топливно-энергетического комплекса России в свете эволюции трансграничных угроз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Соколова О.М.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Российский государственный университет нефти и газа (НИУ) имени И. М. Губкина, Факультет комплексной безопасности ТЭК, Студент (бакалавр), 2027</w:t>
      </w:r>
    </w:p>
    <w:p>
      <w:pPr>
        <w:pStyle w:val="Style17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ovsokolova19042005@mail.ru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В настоящее время мы живем в эпоху насыщенной изменениями реальности, как геополитической, так и экономической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[1]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. Можно с уверенностью заявить, что наступил момент формирования новых стратегических целей России, в частности, в области энергетики и обеспечения безопасности ТЭК страны, в свете вызовов, с которыми сталкивается российская энергетика (смещение центра мирового экономического роста в страны Азиатсво-Тихоокеанского региона; снижение мирового спроса на энергоресурсы, усиление конкуренции, изменение международного законодательства)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[2]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. Для предприятий ТЭК существует множество (в части принадлежности к различным сферам – информационной, технологической, антитеррористической, соци- альной и т. п.) причин возникновения инциденов, которые, в свою очередь, могут вызвать множество негативных последствий. Это, в свою очередь, порождает неделимое объединение угроз и последствий их реализации. </w:t>
      </w:r>
    </w:p>
    <w:p>
      <w:pPr>
        <w:pStyle w:val="NormalWeb"/>
        <w:spacing w:before="0" w:after="0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Такой подход принципиально отличается от имевшейся ранее точки зрения, что, например, угрозы информационной безопасности порождали негативные последствия только в сфере информационной безопасности. В настоящее время это единый "гордиев узел безопасности", что и делает последнюю комплексной. 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В ходе проведенного исследования был взят широкий кластер кейсов, представляющий наиболее полную репрезентативность. Были также проанализированы две наиболее серьезные трансграничные угрозы ТЭК – энергетический терроризм и киберугрозы.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В ходе исследования были сделаны следующие промежуточные выводы: 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Энергетический терроризм – явление многопрофильное. Он может преследовать как разные цели, так и иметь разные масштабы и участников. Энергетические объекты являются привлекательной и уязвимой целью террористов из-за трех особенносей: низкой мобильности и высокой концентрации, высокой стратегической и экономической ценности и географической удаленности.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В первую очередь, исполнителями террористических актов, целью которых являются объекты ТЭК определенной страны, могут быть: Государственные акторы (подрыв «Северных потоков»); Террористические организации, зачастую следующие радикальной исламистской повестке (концепция «энергетического джихада»)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[3]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; Нерегулярные вооруженные формирования (диверсии Движения за освобождение дельты реки Нигер на нефтепроводе, принадлежащем S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hell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, в 2009 году); Повстанцы (взрыв повстанцами из Армии национального освобождения магистрального нефтепровода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Transandino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, принадлежащего компании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Ecopetrol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в Колумбии в 2016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году)[4];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Прочие милитаризованные организации.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В зависимости от участников терактов, цели тоже могут варьироваться: Нанесение ущерба экономическим основам страны, которые поддерживают ее политическую, военную или коммерческую мощь, что, в свою очередь угрожает национальной безопасности страны; Нанесение ущерба транснациональным кампаниям (в данном случае энергетические террористы выступают против добычи нефти на территории страны иностранными компаниями); Выбор символических целей для того, чтобы побудить людей присоединиться к их организации; Демонстрация филиалами крупных террористических групп своей поддержки и лояльности; Сбор средств (нападая на объекты ТЭК, беря в заложники работников отрасли или воруя нефть, террористы вымогают средства на финансирование своей деятельности) </w:t>
      </w:r>
      <w:r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[5]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spacing w:val="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Масштабы угрозы также могут различаться. Можно выделить одиночные теракты и малые кампании. Применительно к России, целесообразно рассматривать именно первый вариант, особенно в свете диверсий на газопроводах «Северный поток» и «Северный поток-2», которые можно расценивать как акт энергетического терроризма.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Стремительное развитие цифровизации не обошло и энергетический комплекс. Несмотря на то, что он является критически важной отраслью для любой страны и его безопасности уделяется должное внимание, он остается одним из самых уязвимых секторов для кибератак </w:t>
      </w:r>
      <w:r>
        <w:rPr>
          <w:rStyle w:val="Style15"/>
          <w:outline w:val="false"/>
          <w:color w:val="000000"/>
          <w:spacing w:val="0"/>
          <w:u w:val="none" w:color="000000"/>
          <w:lang w:val="en-US"/>
          <w14:textFill>
            <w14:solidFill>
              <w14:srgbClr w14:val="000000"/>
            </w14:solidFill>
          </w14:textFill>
        </w:rPr>
        <w:t>[6]</w:t>
      </w:r>
      <w:r>
        <w:rPr>
          <w:rStyle w:val="Style15"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. Это связано с тем, что энергетическая отрасль довольно медленно обновляет инфраструктуру и программное обеспечение, что играет на руку хакерам. Сегодня из-за нестабильной геополитической ситуации российская энергетика становится более уязвимой для зарубежных хакеров.</w:t>
      </w: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5"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 xml:space="preserve">По разным оценкам, отечественный энергетический сектор использует от 40 до 50 процентов иностранного ПО, а также иностранное оборудование </w:t>
      </w:r>
      <w:r>
        <w:rPr>
          <w:rStyle w:val="Style15"/>
          <w:outline w:val="false"/>
          <w:color w:val="000000"/>
          <w:spacing w:val="0"/>
          <w:u w:val="none" w:color="000000"/>
          <w:lang w:val="en-US"/>
          <w14:textFill>
            <w14:solidFill>
              <w14:srgbClr w14:val="000000"/>
            </w14:solidFill>
          </w14:textFill>
        </w:rPr>
        <w:t>[7]</w:t>
      </w:r>
      <w:r>
        <w:rPr>
          <w:rStyle w:val="Style15"/>
          <w:outline w:val="false"/>
          <w:color w:val="000000"/>
          <w:spacing w:val="0"/>
          <w:u w:val="none" w:color="000000"/>
          <w:lang w:val="ru-RU"/>
          <w14:textFill>
            <w14:solidFill>
              <w14:srgbClr w14:val="000000"/>
            </w14:solidFill>
          </w14:textFill>
        </w:rPr>
        <w:t>. Одним из наиболее эффективных решений для снижения риска хакерских атак извне является отказ от иностранного оборудования и ПО, а также развитие защиты.</w:t>
      </w:r>
    </w:p>
    <w:p>
      <w:pPr>
        <w:pStyle w:val="NormalWeb"/>
        <w:spacing w:before="0" w:after="0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В заключение необходимо сказать о том, что события последних лет доказали необходимость выполнения работ по антитеррористической защите объектов ТЭК и поставили перед нами новые вызовы. Необходимо корректировать нормативно-правовые акты в области антитеррористической защиты, в том числе и объектов ТЭК. Легкодоступность новых технических средств для совершения несанкционированных действий, таких как беспилотные летательные аппараты и другие, требуют ответных действий, нейтрализующих эти угрозы.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В ходе исследования был сделан вывод о том, что у РФ есть большой потенциал трансформации энергобезопасности. Чтобы сделать этот процесс наиболее эффективным, необходимо действовать в двух направлениях.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Первым направлением является деятельность в рамках страны. Помимо усиления защиты энергетических объектов и компаний, правительству России либо отдельным компаниям целесообразно предпринять и ряд других мер, а именно: активно интегрировать передовые технологии в комлекных системах безопасности (искусственный интеллект, беспроводная связь, технологии дополненной визуальной реальности и т.д.); минимизировать воздействие производства энергии на местное сообщество (например, частичный найм местных жителей и взаимодействие с обществом позволит минимизировать напряженность в богатых нефтью регионах); подготавливать высококвалифицированных специалистов в области комплексной безопасности объектов ТЭК (в том числе в рамках Антитеррористического центра государств – участников СНГ и других организаций, а также посредством проведения комплексных учений по предотвращению террористических атак); уделять повышенное внимание «мягкой силе», а именно участию институтов гражданского общества в формировании единого подхода к проблемам безопасности; широко применять БПЛА и другие технологии для контроля процессов производства, обнаружения утечек и т.д.</w:t>
      </w:r>
    </w:p>
    <w:p>
      <w:pPr>
        <w:pStyle w:val="NormalWeb"/>
        <w:spacing w:before="0" w:after="0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Вторым направлением является международная кооперация. Это путь к энергобезопасности не только России, но и всего мира. Одним из основных направлений является усиление партнерства в рамках международных организаций и объединений: ЕАЭС, СНГ, ШОС, а также БРИКС. Так, с 2015 года действует Рабочая группа по энергосбережению и повышению энергоэффективности, которая стала первой в рамках БРИКС постоянной платформой для обсуждения энергетической проблематики. В свете описанных выше событий также кажется целесообразным продолжать работу в рамках гармонизации законодательных норм в сфере безопасности ТЭК.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[1] </w:t>
      </w:r>
      <w:r>
        <w:rPr>
          <w:rStyle w:val="Style15"/>
          <w:outline w:val="false"/>
          <w:color w:val="000000"/>
          <w:kern w:val="2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Касаткин Д. Рынки нефти и газа на пороге передела // Инфотэк. 2022. URL: </w:t>
      </w:r>
      <w:hyperlink r:id="rId2">
        <w:r>
          <w:rPr>
            <w:rStyle w:val="Hyperlink0"/>
            <w:outline w:val="false"/>
            <w:color w:val="000000"/>
            <w:sz w:val="22"/>
            <w:szCs w:val="22"/>
            <w:u w:val="single" w:color="000000"/>
            <w:lang w:val="en-US"/>
            <w14:textFill>
              <w14:solidFill>
                <w14:srgbClr w14:val="000000"/>
              </w14:solidFill>
            </w14:textFill>
          </w:rPr>
          <w:t>https://itek.ru/analytics/rynki-nefti-i-gaza-na-poroge-peredela/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(дата обращения: 15.02.2024)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>[2] Новая Доктрина энергетической безопасности. О чем она?</w:t>
      </w: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// [Электронный ресурс]: ТАСС. 2019. URL: </w:t>
      </w:r>
      <w:hyperlink r:id="rId3">
        <w:r>
          <w:rPr>
            <w:rStyle w:val="Hyperlink1"/>
            <w:outline w:val="false"/>
            <w:color w:val="000000"/>
            <w:spacing w:val="-5"/>
            <w:kern w:val="2"/>
            <w:sz w:val="22"/>
            <w:szCs w:val="22"/>
            <w:u w:val="single" w:color="000000"/>
            <w:lang w:val="en-US"/>
            <w14:textFill>
              <w14:solidFill>
                <w14:srgbClr w14:val="000000"/>
              </w14:solidFill>
            </w14:textFill>
          </w:rPr>
          <w:t>https://tass.ru/ekonomika/6427822?ysclid=lsmw305nwk615699308</w:t>
        </w:r>
      </w:hyperlink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>(дата обращения: 14.02.2024)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[3] 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Шумилин А.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Грозит ли миру «энергетический джихад»? // Forbes. 2013. </w:t>
      </w:r>
      <w:r>
        <w:rPr>
          <w:rStyle w:val="Style15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URL: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 </w:t>
      </w:r>
      <w:hyperlink r:id="rId4">
        <w:r>
          <w:rPr>
            <w:rStyle w:val="Hyperlink2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</w:rPr>
          <w:t>https://www.forbes.ru/mneniya-column/konkurentsiya/233490-energeticheskii-dzhihad?ysclid=lsmy8ydcp5142633382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 (дата обращения: 16.02.2024)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[4] 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Специальный бюллетень CTN. Защита важнейших объектов энергетической инфраструктуры от террористических актов //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[Электронный ресурс]: ОБСЕ. 2010. URL: </w:t>
      </w:r>
      <w:hyperlink r:id="rId5">
        <w:r>
          <w:rPr>
            <w:rStyle w:val="Hyperlink2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</w:rPr>
          <w:t>https://www.osce.org/files/f/documents/3/f/70164.pdf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 (дата обращения: 15.02.2024)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[5] Понимание кибер-рисков в нефтегазовой отрасли 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//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[Электронный ресурс]: ЭнергоСМИ. 2020. URL: </w:t>
      </w:r>
      <w:hyperlink r:id="rId6">
        <w:r>
          <w:rPr>
            <w:rStyle w:val="Hyperlink2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</w:rPr>
          <w:t>https://energosmi.ru/archives/44324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 xml:space="preserve"> (дата обращения: 15.02.2024)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[6] Лаврухин М. Терроризм в энергетической промышленности // Энергетическая политика. 2023. URL: </w:t>
      </w:r>
      <w:hyperlink r:id="rId7">
        <w:r>
          <w:rPr>
            <w:rStyle w:val="Hyperlink0"/>
            <w:outline w:val="false"/>
            <w:color w:val="000000"/>
            <w:sz w:val="22"/>
            <w:szCs w:val="22"/>
            <w:u w:val="single" w:color="000000"/>
            <w:lang w:val="en-US"/>
            <w14:textFill>
              <w14:solidFill>
                <w14:srgbClr w14:val="000000"/>
              </w14:solidFill>
            </w14:textFill>
          </w:rPr>
          <w:t>https://energypolicy.ru/terrorizm-v-energeticheskoj-promyshlennosti/neft/2023/14/23/?ysclid=lsrnxrelf9500704481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(дата обращения: 14.02.2024)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[7] Мамонова Е. </w:t>
      </w:r>
      <w:r>
        <w:rPr>
          <w:rStyle w:val="Style15"/>
          <w:outline w:val="false"/>
          <w:color w:val="000000"/>
          <w:spacing w:val="1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Сектор энергетики стал одной из основных мишеней кибератак // RG.ru. 2022. URL: </w:t>
      </w:r>
      <w:hyperlink r:id="rId8">
        <w:r>
          <w:rPr>
            <w:rStyle w:val="Hyperlink3"/>
            <w:outline w:val="false"/>
            <w:color w:val="000000"/>
            <w:spacing w:val="1"/>
            <w:sz w:val="22"/>
            <w:szCs w:val="22"/>
            <w:u w:val="single" w:color="000000"/>
            <w:lang w:val="en-US"/>
            <w14:textFill>
              <w14:solidFill>
                <w14:srgbClr w14:val="000000"/>
              </w14:solidFill>
            </w14:textFill>
          </w:rPr>
          <w:t>https://rg.ru/2022/05/17/sektor-energetiki-stal-odnoj-iz-osnovnyh-mishenej-kiberatak.html?ysclid=lsmx4hx5tw640760418</w:t>
        </w:r>
      </w:hyperlink>
      <w:r>
        <w:rPr>
          <w:rStyle w:val="Style15"/>
          <w:outline w:val="false"/>
          <w:color w:val="000000"/>
          <w:spacing w:val="1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>(дата обращения: 15.02.2024)</w:t>
      </w:r>
    </w:p>
    <w:p>
      <w:pPr>
        <w:pStyle w:val="NormalWeb"/>
        <w:spacing w:before="0" w:after="0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Web"/>
        <w:spacing w:before="0" w:after="0"/>
        <w:ind w:left="0" w:right="0" w:firstLine="709"/>
        <w:jc w:val="both"/>
        <w:rPr>
          <w:rStyle w:val="Style15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Style w:val="Style15"/>
          <w:b/>
          <w:bCs/>
          <w:outline w:val="false"/>
          <w:color w:val="000000"/>
          <w:u w:val="none" w:color="000000"/>
          <w:lang w:val="ru-RU"/>
          <w14:textFill>
            <w14:solidFill>
              <w14:srgbClr w14:val="000000"/>
            </w14:solidFill>
          </w14:textFill>
        </w:rPr>
        <w:t>Источники и литература:</w:t>
      </w:r>
    </w:p>
    <w:p>
      <w:pPr>
        <w:pStyle w:val="Normal"/>
        <w:ind w:left="0" w:right="0" w:firstLine="709"/>
        <w:jc w:val="both"/>
        <w:rPr>
          <w:rStyle w:val="Style15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i/>
          <w:i/>
          <w:iCs/>
          <w:sz w:val="22"/>
          <w:szCs w:val="22"/>
          <w:lang w:val="ru-RU"/>
        </w:rPr>
      </w:pPr>
      <w:r>
        <w:rPr>
          <w:rStyle w:val="Style15"/>
          <w:i w:val="false"/>
          <w:iCs w:val="false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Указ Президента Российской Федерации от 13.05.2019 г. № 216 </w:t>
      </w:r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Об утверждении Доктрины энергетической безопасности Российской Федерации 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i/>
          <w:i/>
          <w:iCs/>
          <w:sz w:val="22"/>
          <w:szCs w:val="22"/>
          <w:lang w:val="ru-RU"/>
        </w:rPr>
      </w:pPr>
      <w:r>
        <w:rPr>
          <w:rStyle w:val="Style15"/>
          <w:i/>
          <w:iCs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Лаврухин М.</w:t>
      </w:r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Терроризм в энергетической промышленности // Энергетическая политика. 2023. </w:t>
      </w:r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: </w:t>
      </w:r>
      <w:hyperlink r:id="rId9"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https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://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energypolicy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ru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terrorizm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v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energeticheskoj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promyshlennosti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neft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/2023/14/23/?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ysclid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=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lsrnxrelf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9500704481</w:t>
        </w:r>
      </w:hyperlink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(дата обращения: 14.02.2024)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i/>
          <w:i/>
          <w:iCs/>
          <w:sz w:val="22"/>
          <w:szCs w:val="22"/>
          <w:lang w:val="ru-RU"/>
        </w:rPr>
      </w:pPr>
      <w:r>
        <w:rPr>
          <w:rStyle w:val="Style15"/>
          <w:i/>
          <w:iCs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Мамонова Е</w:t>
      </w:r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Сектор энергетики стал одной из основных мишеней кибератак // R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G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.r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. 2022. 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: </w:t>
      </w:r>
      <w:hyperlink r:id="rId10"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https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://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rg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ru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/2022/05/17/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sektor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energetiki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stal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odnoj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iz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osnovnyh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mishenej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kiberatak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html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?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ysclid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=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lsmx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4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hx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5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tw</w:t>
        </w:r>
        <w:r>
          <w:rPr>
            <w:i w:val="false"/>
            <w:iCs w:val="false"/>
            <w:outline w:val="false"/>
            <w:color w:val="000000"/>
            <w:spacing w:val="1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640760418</w:t>
        </w:r>
      </w:hyperlink>
      <w:r>
        <w:rPr>
          <w:rStyle w:val="Style15"/>
          <w:i w:val="false"/>
          <w:iCs w:val="false"/>
          <w:outline w:val="false"/>
          <w:color w:val="000000"/>
          <w:spacing w:val="1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(дата обращения: 15.02.2024)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i/>
          <w:i/>
          <w:iCs/>
          <w:sz w:val="22"/>
          <w:szCs w:val="22"/>
          <w:lang w:val="ru-RU"/>
        </w:rPr>
      </w:pPr>
      <w:r>
        <w:rPr>
          <w:rStyle w:val="Style15"/>
          <w:i/>
          <w:iCs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Касаткин Д.</w:t>
      </w:r>
      <w:r>
        <w:rPr>
          <w:rStyle w:val="Style15"/>
          <w:i w:val="false"/>
          <w:iCs w:val="false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Рынки нефти и газа на пороге передела // Инфотэк. 2022. </w:t>
      </w:r>
      <w:r>
        <w:rPr>
          <w:rStyle w:val="Style15"/>
          <w:i w:val="false"/>
          <w:iCs w:val="false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i w:val="false"/>
          <w:iCs w:val="false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: </w:t>
      </w:r>
      <w:hyperlink r:id="rId11"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https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://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itek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ru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analytics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rynki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nefti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i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gaza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na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poroge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rFonts w:ascii="Times New Roman" w:hAnsi="Times New Roman" w:eastAsia="Times New Roman" w:cs="Times New Roman"/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peredela</w:t>
        </w:r>
        <w:r>
          <w:rPr>
            <w:i w:val="false"/>
            <w:iCs w:val="false"/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</w:hyperlink>
      <w:r>
        <w:rPr>
          <w:rStyle w:val="Style15"/>
          <w:i w:val="false"/>
          <w:iCs w:val="false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(дата обращения: 15.02.2024)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sz w:val="22"/>
          <w:szCs w:val="22"/>
          <w:lang w:val="ru-RU"/>
        </w:rPr>
      </w:pPr>
      <w:r>
        <w:rPr>
          <w:rStyle w:val="Style15"/>
          <w:i/>
          <w:iCs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Шумилин А.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Грозит ли миру «энергетический джихад»? //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Forbes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. 2013. </w:t>
      </w:r>
      <w:r>
        <w:rPr>
          <w:rStyle w:val="Style15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outline w:val="false"/>
          <w:color w:val="000000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: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</w:t>
      </w:r>
      <w:hyperlink r:id="rId12"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https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://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www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forbes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ru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mneniya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column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konkurentsiya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/233490-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energeticheskii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-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dzhihad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?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ysclid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=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lsmy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8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ydcp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5142633382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(дата обращения: 16.02.2024)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sz w:val="22"/>
          <w:szCs w:val="22"/>
          <w:lang w:val="ru-RU"/>
        </w:rPr>
      </w:pP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Новая Доктрина энергетической безопасности. О чем она?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// [Электронный ресурс]: ТАСС. 2019.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: </w:t>
      </w:r>
      <w:hyperlink r:id="rId13">
        <w:r>
          <w:rPr>
            <w:rStyle w:val="Hyperlink7"/>
            <w:outline w:val="false"/>
            <w:color w:val="000000"/>
            <w:spacing w:val="-5"/>
            <w:kern w:val="2"/>
            <w:sz w:val="22"/>
            <w:szCs w:val="22"/>
            <w:u w:val="single" w:color="000000"/>
            <w:shd w:fill="FFFFFF" w:val="clear"/>
            <w14:textFill>
              <w14:solidFill>
                <w14:srgbClr w14:val="000000"/>
              </w14:solidFill>
            </w14:textFill>
          </w:rPr>
          <w:t>https://tass.ru/ekonomika/6427822?ysclid=lsmw305nwk615699308</w:t>
        </w:r>
      </w:hyperlink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>(дата обращения: 14.02.2024)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707" w:right="0" w:firstLine="2"/>
        <w:jc w:val="both"/>
        <w:rPr>
          <w:sz w:val="22"/>
          <w:szCs w:val="22"/>
          <w:lang w:val="ru-RU"/>
        </w:rPr>
      </w:pP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Понимание кибер-рисков в нефтегазовой отрасли 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//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[Электронный ресурс]: ЭнергоСМИ. 2020.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: </w:t>
      </w:r>
      <w:hyperlink r:id="rId14">
        <w:r>
          <w:rPr>
            <w:rStyle w:val="Hyperlink8"/>
            <w:outline w:val="false"/>
            <w:color w:val="000000"/>
            <w:sz w:val="22"/>
            <w:szCs w:val="22"/>
            <w:u w:val="single" w:color="000000"/>
            <w:shd w:fill="FFFFFF" w:val="clear"/>
            <w14:textFill>
              <w14:solidFill>
                <w14:srgbClr w14:val="000000"/>
              </w14:solidFill>
            </w14:textFill>
          </w:rPr>
          <w:t>https://energosmi.ru/archives/44324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(дата обращения: 15.02.2024)</w:t>
      </w:r>
    </w:p>
    <w:p>
      <w:pPr>
        <w:pStyle w:val="ListParagraph"/>
        <w:numPr>
          <w:ilvl w:val="0"/>
          <w:numId w:val="4"/>
        </w:numPr>
        <w:ind w:left="771" w:right="0" w:hanging="62"/>
        <w:jc w:val="both"/>
        <w:rPr>
          <w:sz w:val="22"/>
          <w:szCs w:val="22"/>
          <w:lang w:val="ru-RU"/>
        </w:rPr>
      </w:pP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Специальный бюллетень 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CTN</w:t>
      </w:r>
      <w:r>
        <w:rPr>
          <w:rStyle w:val="Style15"/>
          <w:outline w:val="false"/>
          <w:color w:val="000000"/>
          <w:spacing w:val="-5"/>
          <w:kern w:val="2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. Защита важнейших объектов энергетической инфраструктуры от террористических актов //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[Электронный ресурс]: ОБСЕ. 2010. 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: </w:t>
      </w:r>
      <w:hyperlink r:id="rId15"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https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://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www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osce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.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org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files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f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documents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/3/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f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ru-RU"/>
            <w14:textFill>
              <w14:solidFill>
                <w14:srgbClr w14:val="000000"/>
              </w14:solidFill>
            </w14:textFill>
          </w:rPr>
          <w:t>/70164.</w:t>
        </w:r>
        <w:r>
          <w:rPr>
            <w:outline w:val="false"/>
            <w:color w:val="000000"/>
            <w:sz w:val="22"/>
            <w:szCs w:val="22"/>
            <w:u w:val="single" w:color="000000"/>
            <w:shd w:fill="FFFFFF" w:val="clear"/>
            <w:lang w:val="en-US"/>
            <w14:textFill>
              <w14:solidFill>
                <w14:srgbClr w14:val="000000"/>
              </w14:solidFill>
            </w14:textFill>
            <w14:textFill>
              <w14:solidFill>
                <w14:srgbClr w14:val="000000"/>
              </w14:solidFill>
            </w14:textFill>
          </w:rPr>
          <w:t>pdf</w:t>
        </w:r>
      </w:hyperlink>
      <w:r>
        <w:rPr>
          <w:rStyle w:val="Style15"/>
          <w:outline w:val="false"/>
          <w:color w:val="000000"/>
          <w:sz w:val="22"/>
          <w:szCs w:val="22"/>
          <w:u w:val="none" w:color="000000"/>
          <w:shd w:fill="FFFFFF" w:val="clear"/>
          <w:lang w:val="ru-RU"/>
          <w14:textFill>
            <w14:solidFill>
              <w14:srgbClr w14:val="000000"/>
            </w14:solidFill>
          </w14:textFill>
        </w:rPr>
        <w:t xml:space="preserve"> (дата обращения: 15.02.2024)</w:t>
      </w:r>
    </w:p>
    <w:sectPr>
      <w:headerReference w:type="default" r:id="rId16"/>
      <w:footerReference w:type="default" r:id="rId17"/>
      <w:type w:val="nextPage"/>
      <w:pgSz w:w="11906" w:h="16838"/>
      <w:pgMar w:left="1701" w:right="850" w:gutter="0" w:header="72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2.%3."/>
      <w:lvlJc w:val="left"/>
      <w:pPr>
        <w:tabs>
          <w:tab w:val="num" w:pos="2149"/>
        </w:tabs>
        <w:ind w:left="1440" w:firstLine="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2.%3.%4."/>
      <w:lvlJc w:val="left"/>
      <w:pPr>
        <w:tabs>
          <w:tab w:val="num" w:pos="2869"/>
        </w:tabs>
        <w:ind w:left="2160" w:firstLine="3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2880" w:firstLine="5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3600" w:firstLine="1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4320" w:firstLine="7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5040" w:firstLine="8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5760" w:firstLine="16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80"/>
        </w:tabs>
        <w:ind w:left="771" w:hanging="6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92"/>
        </w:tabs>
        <w:ind w:left="783" w:hanging="4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2">
      <w:start w:val="1"/>
      <w:numFmt w:val="lowerRoman"/>
      <w:lvlText w:val="%2.%3."/>
      <w:lvlJc w:val="left"/>
      <w:pPr>
        <w:tabs>
          <w:tab w:val="num" w:pos="2206"/>
        </w:tabs>
        <w:ind w:left="1497" w:firstLine="2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3">
      <w:start w:val="1"/>
      <w:numFmt w:val="decimal"/>
      <w:lvlText w:val="%2.%3.%4."/>
      <w:lvlJc w:val="left"/>
      <w:pPr>
        <w:tabs>
          <w:tab w:val="num" w:pos="2930"/>
        </w:tabs>
        <w:ind w:left="2221" w:hanging="2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4">
      <w:start w:val="1"/>
      <w:numFmt w:val="lowerLetter"/>
      <w:suff w:val="nothing"/>
      <w:lvlText w:val="%2.%3.%4.%5."/>
      <w:lvlJc w:val="left"/>
      <w:pPr>
        <w:tabs>
          <w:tab w:val="num" w:pos="0"/>
        </w:tabs>
        <w:ind w:left="2940" w:hanging="1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num" w:pos="0"/>
        </w:tabs>
        <w:ind w:left="3653" w:firstLine="6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num" w:pos="0"/>
        </w:tabs>
        <w:ind w:left="4378" w:firstLine="1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num" w:pos="0"/>
        </w:tabs>
        <w:ind w:left="5097" w:firstLine="2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num" w:pos="0"/>
        </w:tabs>
        <w:ind w:left="5810" w:firstLine="10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/>
        <w:kern w:val="0"/>
        <w:iCs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480"/>
          </w:tabs>
          <w:ind w:left="771" w:hanging="6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1492"/>
          </w:tabs>
          <w:ind w:left="783" w:hanging="4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1"/>
    <w:lvlOverride w:ilvl="2">
      <w:lvl w:ilvl="2">
        <w:start w:val="1"/>
        <w:numFmt w:val="lowerRoman"/>
        <w:lvlText w:val="%2.%3."/>
        <w:lvlJc w:val="left"/>
        <w:pPr>
          <w:tabs>
            <w:tab w:val="num" w:pos="2206"/>
          </w:tabs>
          <w:ind w:left="1497" w:firstLine="2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2"/>
    <w:lvlOverride w:ilvl="3">
      <w:lvl w:ilvl="3">
        <w:start w:val="1"/>
        <w:numFmt w:val="decimal"/>
        <w:lvlText w:val="%2.%3.%4."/>
        <w:lvlJc w:val="left"/>
        <w:pPr>
          <w:tabs>
            <w:tab w:val="num" w:pos="2930"/>
          </w:tabs>
          <w:ind w:left="2221" w:hanging="2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3"/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num" w:pos="0"/>
          </w:tabs>
          <w:ind w:left="2940" w:hanging="1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4"/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num" w:pos="0"/>
          </w:tabs>
          <w:ind w:left="3653" w:firstLine="6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5"/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num" w:pos="0"/>
          </w:tabs>
          <w:ind w:left="4378" w:firstLine="1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6"/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num" w:pos="0"/>
          </w:tabs>
          <w:ind w:left="5097" w:firstLine="2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  <w:lvlOverride w:ilvl="7"/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num" w:pos="0"/>
          </w:tabs>
          <w:ind w:left="5810" w:firstLine="10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pacing w:val="0"/>
          <w:i/>
          <w:kern w:val="0"/>
          <w:iCs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character" w:styleId="Style15">
    <w:name w:val="Нет"/>
    <w:qFormat/>
    <w:rPr>
      <w:lang w:val="ru-RU"/>
    </w:rPr>
  </w:style>
  <w:style w:type="character" w:styleId="Hyperlink0">
    <w:name w:val="Hyperlink.0"/>
    <w:basedOn w:val="Style15"/>
    <w:qFormat/>
    <w:rPr>
      <w:rFonts w:ascii="Times New Roman" w:hAnsi="Times New Roman" w:eastAsia="Times New Roman" w:cs="Times New Roman"/>
      <w:outline w:val="false"/>
      <w:color w:val="000000"/>
      <w:sz w:val="22"/>
      <w:szCs w:val="22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1">
    <w:name w:val="Hyperlink.1"/>
    <w:basedOn w:val="Style15"/>
    <w:qFormat/>
    <w:rPr>
      <w:rFonts w:ascii="Times New Roman" w:hAnsi="Times New Roman" w:eastAsia="Times New Roman" w:cs="Times New Roman"/>
      <w:outline w:val="false"/>
      <w:color w:val="000000"/>
      <w:spacing w:val="-5"/>
      <w:kern w:val="2"/>
      <w:sz w:val="22"/>
      <w:szCs w:val="22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2">
    <w:name w:val="Hyperlink.2"/>
    <w:basedOn w:val="Style15"/>
    <w:qFormat/>
    <w:rPr>
      <w:rFonts w:ascii="Times New Roman" w:hAnsi="Times New Roman" w:eastAsia="Times New Roman" w:cs="Times New Roman"/>
      <w:outline w:val="false"/>
      <w:color w:val="000000"/>
      <w:sz w:val="22"/>
      <w:szCs w:val="22"/>
      <w:u w:val="single" w:color="000000"/>
      <w:shd w:fill="FFFFFF" w:val="clear"/>
      <w:lang w:val="en-US"/>
      <w14:textFill>
        <w14:solidFill>
          <w14:srgbClr w14:val="000000"/>
        </w14:solidFill>
      </w14:textFill>
    </w:rPr>
  </w:style>
  <w:style w:type="character" w:styleId="Hyperlink3">
    <w:name w:val="Hyperlink.3"/>
    <w:basedOn w:val="Style15"/>
    <w:qFormat/>
    <w:rPr>
      <w:rFonts w:ascii="Times New Roman" w:hAnsi="Times New Roman" w:eastAsia="Times New Roman" w:cs="Times New Roman"/>
      <w:outline w:val="false"/>
      <w:color w:val="000000"/>
      <w:spacing w:val="1"/>
      <w:sz w:val="22"/>
      <w:szCs w:val="22"/>
      <w:u w:val="single" w:color="000000"/>
      <w:lang w:val="en-US"/>
      <w14:textFill>
        <w14:solidFill>
          <w14:srgbClr w14:val="000000"/>
        </w14:solidFill>
      </w14:textFill>
    </w:rPr>
  </w:style>
  <w:style w:type="character" w:styleId="Hyperlink4">
    <w:name w:val="Hyperlink.4"/>
    <w:basedOn w:val="Style15"/>
    <w:qFormat/>
    <w:rPr>
      <w:rFonts w:ascii="Times New Roman" w:hAnsi="Times New Roman" w:eastAsia="Times New Roman" w:cs="Times New Roman"/>
      <w:outline w:val="false"/>
      <w:color w:val="000000"/>
      <w:u w:val="single" w:color="000000"/>
      <w:shd w:fill="FFFFFF" w:val="clear"/>
      <w:lang w:val="en-US"/>
      <w14:textFill>
        <w14:solidFill>
          <w14:srgbClr w14:val="000000"/>
        </w14:solidFill>
      </w14:textFill>
    </w:rPr>
  </w:style>
  <w:style w:type="character" w:styleId="Hyperlink5">
    <w:name w:val="Hyperlink.5"/>
    <w:basedOn w:val="Style15"/>
    <w:qFormat/>
    <w:rPr>
      <w:rFonts w:ascii="Times New Roman" w:hAnsi="Times New Roman" w:eastAsia="Times New Roman" w:cs="Times New Roman"/>
      <w:outline w:val="false"/>
      <w:color w:val="000000"/>
      <w:spacing w:val="0"/>
      <w:u w:val="single" w:color="000000"/>
      <w:shd w:fill="FFFFFF" w:val="clear"/>
      <w:lang w:val="en-US"/>
      <w14:textFill>
        <w14:solidFill>
          <w14:srgbClr w14:val="000000"/>
        </w14:solidFill>
      </w14:textFill>
    </w:rPr>
  </w:style>
  <w:style w:type="character" w:styleId="Hyperlink6">
    <w:name w:val="Hyperlink.6"/>
    <w:basedOn w:val="Style15"/>
    <w:qFormat/>
    <w:rPr>
      <w:outline w:val="false"/>
      <w:color w:val="000000"/>
      <w:u w:val="single" w:color="000000"/>
      <w:shd w:fill="FFFFFF" w:val="clear"/>
      <w:lang w:val="en-US"/>
      <w14:textFill>
        <w14:solidFill>
          <w14:srgbClr w14:val="000000"/>
        </w14:solidFill>
      </w14:textFill>
    </w:rPr>
  </w:style>
  <w:style w:type="character" w:styleId="Hyperlink7">
    <w:name w:val="Hyperlink.7"/>
    <w:basedOn w:val="Style15"/>
    <w:qFormat/>
    <w:rPr>
      <w:outline w:val="false"/>
      <w:color w:val="000000"/>
      <w:spacing w:val="0"/>
      <w:kern w:val="2"/>
      <w:u w:val="single" w:color="000000"/>
      <w:shd w:fill="FFFFFF" w:val="clear"/>
      <w14:textFill>
        <w14:solidFill>
          <w14:srgbClr w14:val="000000"/>
        </w14:solidFill>
      </w14:textFill>
    </w:rPr>
  </w:style>
  <w:style w:type="character" w:styleId="Hyperlink8">
    <w:name w:val="Hyperlink.8"/>
    <w:basedOn w:val="Style15"/>
    <w:qFormat/>
    <w:rPr>
      <w:outline w:val="false"/>
      <w:color w:val="000000"/>
      <w:u w:val="single" w:color="000000"/>
      <w:shd w:fill="FFFFFF" w:val="clear"/>
      <w14:textFill>
        <w14:solidFill>
          <w14:srgbClr w14:val="000000"/>
        </w14:solidFill>
      </w14:textFill>
    </w:rPr>
  </w:style>
  <w:style w:type="character" w:styleId="Hyperlink9">
    <w:name w:val="Hyperlink.9"/>
    <w:basedOn w:val="Style15"/>
    <w:qFormat/>
    <w:rPr>
      <w:outline w:val="false"/>
      <w:color w:val="000000"/>
      <w:sz w:val="22"/>
      <w:szCs w:val="22"/>
      <w:u w:val="single" w:color="000000"/>
      <w:shd w:fill="FFFFFF" w:val="clear"/>
      <w:lang w:val="en-US"/>
      <w14:textFill>
        <w14:solidFill>
          <w14:srgbClr w14:val="000000"/>
        </w14:solidFill>
      </w14:textFill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ы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Web">
    <w:name w:val="Normal (Web)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100" w:afterAutospacing="0" w:after="10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72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qFormat/>
  </w:style>
  <w:style w:type="numbering" w:styleId="2">
    <w:name w:val="Импортированный стиль 2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tek.ru/analytics/rynki-nefti-i-gaza-na-poroge-peredela/" TargetMode="External"/><Relationship Id="rId3" Type="http://schemas.openxmlformats.org/officeDocument/2006/relationships/hyperlink" Target="https://tass.ru/ekonomika/6427822?ysclid=lsmw305nwk615699308" TargetMode="External"/><Relationship Id="rId4" Type="http://schemas.openxmlformats.org/officeDocument/2006/relationships/hyperlink" Target="https://www.forbes.ru/mneniya-column/konkurentsiya/233490-energeticheskii-dzhihad?ysclid=lsmy8ydcp5142633382" TargetMode="External"/><Relationship Id="rId5" Type="http://schemas.openxmlformats.org/officeDocument/2006/relationships/hyperlink" Target="https://www.osce.org/files/f/documents/3/f/70164.pdf" TargetMode="External"/><Relationship Id="rId6" Type="http://schemas.openxmlformats.org/officeDocument/2006/relationships/hyperlink" Target="https://energosmi.ru/archives/44324" TargetMode="External"/><Relationship Id="rId7" Type="http://schemas.openxmlformats.org/officeDocument/2006/relationships/hyperlink" Target="https://energypolicy.ru/terrorizm-v-energeticheskoj-promyshlennosti/neft/2023/14/23/?ysclid=lsrnxrelf9500704481" TargetMode="External"/><Relationship Id="rId8" Type="http://schemas.openxmlformats.org/officeDocument/2006/relationships/hyperlink" Target="https://rg.ru/2022/05/17/sektor-energetiki-stal-odnoj-iz-osnovnyh-mishenej-kiberatak.html?ysclid=lsmx4hx5tw640760418" TargetMode="External"/><Relationship Id="rId9" Type="http://schemas.openxmlformats.org/officeDocument/2006/relationships/hyperlink" Target="https://energypolicy.ru/terrorizm-v-energeticheskoj-promyshlennosti/neft/2023/14/23/?ysclid=lsrnxrelf9500704481" TargetMode="External"/><Relationship Id="rId10" Type="http://schemas.openxmlformats.org/officeDocument/2006/relationships/hyperlink" Target="https://rg.ru/2022/05/17/sektor-energetiki-stal-odnoj-iz-osnovnyh-mishenej-kiberatak.html?ysclid=lsmx4hx5tw640760418" TargetMode="External"/><Relationship Id="rId11" Type="http://schemas.openxmlformats.org/officeDocument/2006/relationships/hyperlink" Target="https://itek.ru/analytics/rynki-nefti-i-gaza-na-poroge-peredela/" TargetMode="External"/><Relationship Id="rId12" Type="http://schemas.openxmlformats.org/officeDocument/2006/relationships/hyperlink" Target="https://www.forbes.ru/mneniya-column/konkurentsiya/233490-energeticheskii-dzhihad?ysclid=lsmy8ydcp5142633382" TargetMode="External"/><Relationship Id="rId13" Type="http://schemas.openxmlformats.org/officeDocument/2006/relationships/hyperlink" Target="https://tass.ru/ekonomika/6427822?ysclid=lsmw305nwk615699308" TargetMode="External"/><Relationship Id="rId14" Type="http://schemas.openxmlformats.org/officeDocument/2006/relationships/hyperlink" Target="https://energosmi.ru/archives/44324" TargetMode="External"/><Relationship Id="rId15" Type="http://schemas.openxmlformats.org/officeDocument/2006/relationships/hyperlink" Target="https://www.osce.org/files/f/documents/3/f/70164.pdf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3</Pages>
  <Words>1128</Words>
  <Characters>9103</Characters>
  <CharactersWithSpaces>10197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2024-04-20T11:56:04Z</dcterms:modified>
  <cp:revision>1</cp:revision>
  <dc:subject/>
  <dc:title/>
</cp:coreProperties>
</file>