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spacing w:lineRule="auto" w:line="240"/>
        <w:ind w:firstLine="397"/>
        <w:jc w:val="center"/>
        <w:rPr>
          <w:b w:val="false"/>
        </w:rPr>
      </w:pPr>
      <w:r>
        <w:rPr>
          <w:rFonts w:cs="Times New Roman"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Большое Евразийское партнёрство в контексте расширения внешнего контура ЕАЭС.</w:t>
      </w:r>
    </w:p>
    <w:p>
      <w:pPr>
        <w:pStyle w:val="Style19"/>
        <w:bidi w:val="0"/>
        <w:spacing w:lineRule="auto" w:line="307" w:before="0" w:after="0"/>
        <w:jc w:val="center"/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Дудко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 М.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С.</w:t>
      </w:r>
    </w:p>
    <w:p>
      <w:pPr>
        <w:pStyle w:val="Style19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Саратовский государственный университет имени Н.Г. Чернышевского, Институт истории и международных отношений, Аспирант, 2026</w:t>
      </w:r>
    </w:p>
    <w:p>
      <w:pPr>
        <w:pStyle w:val="Style19"/>
        <w:jc w:val="center"/>
        <w:rPr/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semenovamaria60@gmail.com</w:t>
      </w:r>
    </w:p>
    <w:p>
      <w:pPr>
        <w:pStyle w:val="Normal"/>
        <w:spacing w:lineRule="auto" w:line="24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/>
        <w:ind w:firstLine="39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ЕАЭС, связывая Европу и Азию, встроен в систему международных отношений как актор, который обладает уникальным ресурсным потенциалом, тем самым привлекая интерес со стороны третьих стран и международных организаций к развитию международного сотрудничества. На сегодняшний день ЕАЭС – это перспективный и развивающийся интеграционный проект на евразийском пространстве, интеграция в котором проходит не только «вглубь», но и «вширь» путем подписания соглашений о зоне свободной торговли. Локомотивы интеграции в рамках ЕАЭС активно продвигают идею развития Большого Евразийского партнерства (далее БЕП). ЕАЭС является особым связующим звеном, центром, вокруг которого, путем укрепления отношений, формализации различных форм торгово-экономического, инвестиционного и транспортно-энергетического сотрудничества с другими странами и интеграционными объединениями формируется конструкт Большого Евразийского партнерства.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Актуальность данного исследования заключается в том, что связи с изменением международной обстановки проекты интеграции интеграций приобретают новые грани. Изменяющаяся конъюнктура приводит к трансформации и поиску других торговых цепочек и транспортных путей. Научная новизна исследования состоит в том, что предпринята попытка изучения комплексного подхода в расширении внешнего контура ЕАЭС для развития идеи Большого Евразийского партнерства. </w:t>
      </w:r>
    </w:p>
    <w:p>
      <w:pPr>
        <w:pStyle w:val="Normal"/>
        <w:spacing w:lineRule="auto" w:line="24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После вступления в силу Договора о ЕАЭС Союз приобрел статус международной правосубъектности, позволяющий осуществлять международное сотрудничество и заключать международные договоры с государствами, международными организациями и объединениями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[2]. Именно данный договор и создаёт базис для формирования нормативно-правовой базы международного сотрудничества ЕАЭС. На данный момент правовая база Союза для формирования внешнего контура интеграции включает в себя многие документы и другие документы [4,5].  Например, Высший Евразийский экономический совет в мае 2018 г. принял ключевой документ, регламентирующий международное сотрудничество ЕАЭС – Соглашение «О международных договорах Евразийского экономического союза с третьими государствами, международными организациями или международными интеграционными объединениями»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[6]. В начале 2021 года был опубликован документ «Стратегические направления развития евразийской экономической интеграции до 2025 года», где отмечается идея развития Большого Евразийского партнерства [7].</w:t>
      </w:r>
    </w:p>
    <w:p>
      <w:pPr>
        <w:pStyle w:val="Normal"/>
        <w:spacing w:lineRule="auto" w:line="24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 период существования в рамках ЕАЭС на основании вышеперечисленных правовых актов были выработаны основные механизмы формирования взаимоотношений с внешними партнерами. На данный момент существуют 4 формы международного сотрудничества ЕАЭС.</w:t>
      </w:r>
      <w:bookmarkStart w:id="0" w:name="_heading=h.tyjcwt"/>
      <w:bookmarkEnd w:id="0"/>
      <w:r>
        <w:rPr>
          <w:rFonts w:cs="Times New Roman" w:ascii="Times New Roman" w:hAnsi="Times New Roman"/>
          <w:sz w:val="24"/>
          <w:szCs w:val="24"/>
        </w:rPr>
        <w:t xml:space="preserve"> В декабре 2023 г. ВЭС утвердил «Основные направления международной деятельности ЕАЭС на 2024 г.», где официально подтверждается развитие идеи «интеграции интеграций» и Большого Евразийского партнерства [1].</w:t>
      </w:r>
    </w:p>
    <w:p>
      <w:pPr>
        <w:pStyle w:val="Normal"/>
        <w:spacing w:lineRule="auto" w:line="24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основании вышеперечисленных документов можно выделить 4 основных направления в контексте расширения внешнего контура ЕАЭС для формирования идеи БЕП: 1. Заключение ЕАЭС меморандумов о сотрудничестве (взаимодействии), преференциальных и непреференциальных торговых соглашений с третьими странами; 2.</w:t>
      </w:r>
      <w:bookmarkStart w:id="1" w:name="_heading=h.1t3h5sf"/>
      <w:bookmarkEnd w:id="1"/>
      <w:r>
        <w:rPr>
          <w:rFonts w:cs="Times New Roman" w:ascii="Times New Roman" w:hAnsi="Times New Roman"/>
          <w:sz w:val="24"/>
          <w:szCs w:val="24"/>
        </w:rPr>
        <w:t xml:space="preserve"> Выстраивание диалога с другими ключевыми региональными экономическими объединениями (ШОС, АСЕАН, БРИКС); 3. Проект сопряжения ЕАЭС и китайского ЭПШП; 4.Расширение ЕАЭС за счет вступления новых членов из числа постсоветских стран.</w:t>
      </w:r>
    </w:p>
    <w:p>
      <w:pPr>
        <w:pStyle w:val="Normal"/>
        <w:spacing w:lineRule="auto" w:line="24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Важной долгосрочной задачей в развитии интеграции Большого Евразийского партнерства является увеличение стран-участниц самого ЕАЭС. Меморандумы являются первым этапом по институционализации сотрудничества с третьими странами, региональными интеграционными объединениями и международными организациями. Следующими форматами, которые в свою очередь являются ключевыми в аспекте международного экономического сотрудничества, выступают статус государства-наблюдателя, соглашения о торгово-экономическом сотрудничестве (непреференциальные торговые соглашения) и преференциальные [3]. </w:t>
      </w:r>
    </w:p>
    <w:p>
      <w:pPr>
        <w:pStyle w:val="Normal"/>
        <w:spacing w:lineRule="auto" w:line="24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Таким образом, несмотря на то что ЕАЭС является относительно молодым интеграционным объединением, в рамках союза выработана разветвленная правовая база для формирования взаимоотношений с внешними партнерами, на основании которой осуществляется формирование внешнего контура интеграции и реализация направлений международной деятельности в «Большой Евразии». ЕАЭС провел плодотворную работу в данном направлении и вступил во взаимодействие в различной форме с 50 государствами, международными организациями и ведущими региональными объединениями. Направления взаимодействия декларируются в основных документах с учетом позиций всех стран-участниц. ЕАЭС играет большую роль в развитии Большого Евразийского партнерства и, по нашему мнению, является связующим звеном для формирования более широкого интеграционного контура. За годы существования ЕАЭС создал масштабную правовую базу для работы в данном направлении и продолжает подтверждать роль центра, вокруг которого, путем укрепления отношений, формализации различных форм торгово-экономического, инвестиционного и транспортно-энергетического сотрудничества с другими странами и интеграционными объединениями формируется конструкт Большой Евразии.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Литература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</w:r>
      <w:r>
        <w:rPr>
          <w:rFonts w:cs="Times New Roman" w:ascii="Times New Roman" w:hAnsi="Times New Roman"/>
          <w:sz w:val="24"/>
          <w:szCs w:val="24"/>
        </w:rPr>
        <w:t xml:space="preserve">В ЕАЭС определили направления международной деятельности на 2024 год [Электронный ресурс]: [сайт]. – URL: 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https://eurasia.expert/v-eaes-opredelili-napravleniya-mezhdunarodnoy-deyatelnosti-na-2024-god/?utm_source=google.com&amp;utm_medium=organic&amp;utm_campaign=google.com&amp;utm_referrer=google.com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(дата обращения 13.01.2024) – Загл. с экрана.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</w:r>
      <w:r>
        <w:rPr>
          <w:rFonts w:cs="Times New Roman" w:ascii="Times New Roman" w:hAnsi="Times New Roman"/>
          <w:sz w:val="24"/>
          <w:szCs w:val="24"/>
        </w:rPr>
        <w:t xml:space="preserve">Договор о ЕАЭС. П. 1. Ст. 7. [Электронный ресурс]: [сайт]. – URL: </w:t>
      </w:r>
      <w:hyperlink r:id="rId3">
        <w:r>
          <w:rPr>
            <w:rFonts w:cs="Times New Roman" w:ascii="Times New Roman" w:hAnsi="Times New Roman"/>
            <w:sz w:val="24"/>
            <w:szCs w:val="24"/>
          </w:rPr>
          <w:t>http://www.consultant.ru/document/cons_doc_LAW_163855/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(дата обращения 13.12.2023) – Загл. с экрана.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</w:r>
      <w:r>
        <w:rPr>
          <w:rFonts w:cs="Times New Roman" w:ascii="Times New Roman" w:hAnsi="Times New Roman"/>
          <w:sz w:val="24"/>
          <w:szCs w:val="24"/>
        </w:rPr>
        <w:t>Евразийский экономический союз. Цифры и факты. Справочник. ЕЭК. М.: 2019. – С.8.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</w:r>
      <w:r>
        <w:rPr>
          <w:rFonts w:cs="Times New Roman" w:ascii="Times New Roman" w:hAnsi="Times New Roman"/>
          <w:sz w:val="24"/>
          <w:szCs w:val="24"/>
        </w:rPr>
        <w:t>Решение ВЕЭС № 25 «О Порядке принятия в Евразийский экономический союз новых членов и прекращения членства в Евразийском экономическом союзе»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[Электронный ресурс]: [сайт]. – URL:</w:t>
      </w:r>
      <w:r>
        <w:rPr/>
        <w:t xml:space="preserve"> </w:t>
      </w:r>
      <w:hyperlink r:id="rId4">
        <w:r>
          <w:rPr>
            <w:rFonts w:cs="Times New Roman" w:ascii="Times New Roman" w:hAnsi="Times New Roman"/>
            <w:sz w:val="24"/>
            <w:szCs w:val="24"/>
          </w:rPr>
          <w:t>https://docs.eaeunion.org/docs/ru-ru/0158759/scd_19102015_25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(дата обращения 13.01.2024) – Загл. с экрана.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</w:r>
      <w:r>
        <w:rPr>
          <w:rFonts w:cs="Times New Roman" w:ascii="Times New Roman" w:hAnsi="Times New Roman"/>
          <w:sz w:val="24"/>
          <w:szCs w:val="24"/>
        </w:rPr>
        <w:t>Решение ВЕЭС № 99 «О Порядке осуществления Евразийским экономическим союзом международного сотрудничества»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[Электронный ресурс]: [сайт]. – URL:</w:t>
      </w:r>
      <w:r>
        <w:rPr/>
        <w:t xml:space="preserve"> </w:t>
      </w:r>
      <w:hyperlink r:id="rId5">
        <w:r>
          <w:rPr>
            <w:rFonts w:cs="Times New Roman" w:ascii="Times New Roman" w:hAnsi="Times New Roman"/>
            <w:sz w:val="24"/>
            <w:szCs w:val="24"/>
          </w:rPr>
          <w:t>https://burundi.mid.ru/ru/press-centre/news/o_mezhdunarodnoy_deyatelnosti_eaes/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(дата обращения 13.01.2024) – Загл. с экрана.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</w:t>
      </w:r>
      <w:r>
        <w:rPr>
          <w:rFonts w:cs="Times New Roman" w:ascii="Times New Roman" w:hAnsi="Times New Roman"/>
          <w:sz w:val="24"/>
          <w:szCs w:val="24"/>
        </w:rPr>
        <w:t xml:space="preserve">Решение Высшего Евразийского экономического совета № 12 от 11 декабря 2020 года «О Стратегических направлениях развития евразийской экономической интеграции до 2025 года» [Электронный ресурс]: [сайт]. – URL: </w:t>
      </w:r>
      <w:hyperlink r:id="rId6">
        <w:r>
          <w:rPr>
            <w:rFonts w:cs="Times New Roman" w:ascii="Times New Roman" w:hAnsi="Times New Roman"/>
            <w:sz w:val="24"/>
            <w:szCs w:val="24"/>
          </w:rPr>
          <w:t>https://docs.eaeunion.org/docs/ru-ru/01228321/err_12012021_12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(дата обращения 13.01.2024) – Загл. с экрана.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</w:t>
      </w:r>
      <w:r>
        <w:rPr>
          <w:rFonts w:cs="Times New Roman" w:ascii="Times New Roman" w:hAnsi="Times New Roman"/>
          <w:sz w:val="24"/>
          <w:szCs w:val="24"/>
        </w:rPr>
        <w:t xml:space="preserve">Соглашение о международных договорах Евразийского экономического союза с третьими государствами, международными организациями или международными интеграционными объединениями (Заключено в г. Сочи 14.05.2018) [Электронный ресурс]: [сайт]. – URL: </w:t>
      </w:r>
      <w:hyperlink r:id="rId7">
        <w:r>
          <w:rPr>
            <w:rFonts w:cs="Times New Roman" w:ascii="Times New Roman" w:hAnsi="Times New Roman"/>
            <w:sz w:val="24"/>
            <w:szCs w:val="24"/>
          </w:rPr>
          <w:t>http://www.consultant.ru/document/cons_doc_LAW_298047/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(дата обращения 13.12.2023) – Загл. с экрана.</w:t>
      </w:r>
    </w:p>
    <w:sectPr>
      <w:type w:val="nextPage"/>
      <w:pgSz w:w="11906" w:h="16838"/>
      <w:pgMar w:left="1361" w:right="136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30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307d2"/>
    <w:rPr>
      <w:color w:val="605E5C"/>
      <w:shd w:fill="E1DFDD" w:val="clear"/>
    </w:rPr>
  </w:style>
  <w:style w:type="character" w:styleId="Style15" w:customStyle="1">
    <w:name w:val="Текст сноски Знак"/>
    <w:basedOn w:val="DefaultParagraphFont"/>
    <w:uiPriority w:val="99"/>
    <w:qFormat/>
    <w:rsid w:val="00950b63"/>
    <w:rPr>
      <w:rFonts w:ascii="Times New Roman" w:hAnsi="Times New Roman" w:eastAsia="SimSun" w:cs="Times New Roman"/>
      <w:kern w:val="0"/>
      <w:sz w:val="20"/>
      <w:szCs w:val="20"/>
      <w:lang w:eastAsia="zh-CN"/>
      <w14:ligatures w14:val="none"/>
    </w:rPr>
  </w:style>
  <w:style w:type="character" w:styleId="Style16">
    <w:name w:val="Символ сноски"/>
    <w:uiPriority w:val="99"/>
    <w:semiHidden/>
    <w:qFormat/>
    <w:rsid w:val="00950b63"/>
    <w:rPr>
      <w:vertAlign w:val="superscript"/>
    </w:rPr>
  </w:style>
  <w:style w:type="character" w:styleId="Style17">
    <w:name w:val="Привязка сноски"/>
    <w:rPr>
      <w:vertAlign w:val="superscript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Footnote Text"/>
    <w:basedOn w:val="Normal"/>
    <w:link w:val="Style15"/>
    <w:uiPriority w:val="99"/>
    <w:rsid w:val="00950b63"/>
    <w:pPr>
      <w:spacing w:lineRule="auto" w:line="240" w:before="0" w:after="0"/>
    </w:pPr>
    <w:rPr>
      <w:rFonts w:ascii="Times New Roman" w:hAnsi="Times New Roman" w:eastAsia="SimSun" w:cs="Times New Roman"/>
      <w:kern w:val="0"/>
      <w:sz w:val="20"/>
      <w:szCs w:val="20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6c33c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urasia.expert/v-eaes-opredelili-napravleniya-mezhdunarodnoy-deyatelnosti-na-2024-god/?utm_source=google.com&amp;utm_medium=organic&amp;utm_campaign=google.com&amp;utm_referrer=google.com" TargetMode="External"/><Relationship Id="rId3" Type="http://schemas.openxmlformats.org/officeDocument/2006/relationships/hyperlink" Target="http://www.consultant.ru/document/cons_doc_LAW_163855/" TargetMode="External"/><Relationship Id="rId4" Type="http://schemas.openxmlformats.org/officeDocument/2006/relationships/hyperlink" Target="https://docs.eaeunion.org/docs/ru-ru/0158759/scd_19102015_25" TargetMode="External"/><Relationship Id="rId5" Type="http://schemas.openxmlformats.org/officeDocument/2006/relationships/hyperlink" Target="https://burundi.mid.ru/ru/press-centre/news/o_mezhdunarodnoy_deyatelnosti_eaes/" TargetMode="External"/><Relationship Id="rId6" Type="http://schemas.openxmlformats.org/officeDocument/2006/relationships/hyperlink" Target="https://docs.eaeunion.org/docs/ru-ru/01228321/err_12012021_12" TargetMode="External"/><Relationship Id="rId7" Type="http://schemas.openxmlformats.org/officeDocument/2006/relationships/hyperlink" Target="http://www.consultant.ru/document/cons_doc_LAW_298047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LibreOffice/7.3.7.2$Linux_X86_64 LibreOffice_project/30$Build-2</Application>
  <AppVersion>15.0000</AppVersion>
  <Pages>3</Pages>
  <Words>786</Words>
  <Characters>6430</Characters>
  <CharactersWithSpaces>7219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2024-02-29T11:13:00Z</dcterms:created>
  <dc:creator>Maria Semenova</dc:creator>
  <dc:description/>
  <dc:language>ru-RU</dc:language>
  <cp:lastModifiedBy/>
  <cp:lastPrinted>2024-02-29T10:02:00Z</cp:lastPrinted>
  <dcterms:modified xsi:type="dcterms:W3CDTF">2024-04-27T14:35:18Z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