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 A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Конструирование и</w:t>
      </w:r>
      <w:r>
        <w:rPr>
          <w:b w:val="1"/>
          <w:bCs w:val="1"/>
          <w:rtl w:val="0"/>
          <w:lang w:val="ru-RU"/>
        </w:rPr>
        <w:t>деал</w:t>
      </w:r>
      <w:r>
        <w:rPr>
          <w:b w:val="1"/>
          <w:bCs w:val="1"/>
          <w:rtl w:val="0"/>
          <w:lang w:val="ru-RU"/>
        </w:rPr>
        <w:t>а</w:t>
      </w:r>
      <w:r>
        <w:rPr>
          <w:b w:val="1"/>
          <w:bCs w:val="1"/>
          <w:rtl w:val="0"/>
          <w:lang w:val="ru-RU"/>
        </w:rPr>
        <w:t xml:space="preserve"> марийской женщины на рубеже </w:t>
      </w:r>
      <w:r>
        <w:rPr>
          <w:b w:val="1"/>
          <w:bCs w:val="1"/>
          <w:rtl w:val="0"/>
          <w:lang w:val="ru-RU"/>
        </w:rPr>
        <w:t xml:space="preserve">XX/XXI </w:t>
      </w:r>
      <w:r>
        <w:rPr>
          <w:b w:val="1"/>
          <w:bCs w:val="1"/>
          <w:rtl w:val="0"/>
          <w:lang w:val="ru-RU"/>
        </w:rPr>
        <w:t>вв</w:t>
      </w:r>
      <w:r>
        <w:rPr>
          <w:b w:val="1"/>
          <w:bCs w:val="1"/>
          <w:rtl w:val="0"/>
          <w:lang w:val="ru-RU"/>
        </w:rPr>
        <w:t>.</w:t>
      </w:r>
    </w:p>
    <w:p>
      <w:pPr>
        <w:pStyle w:val="Основной текст A"/>
        <w:tabs>
          <w:tab w:val="left" w:pos="720"/>
        </w:tabs>
        <w:jc w:val="center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>Мамедова Майя Низамиевна</w:t>
      </w:r>
    </w:p>
    <w:p>
      <w:pPr>
        <w:pStyle w:val="Основной текст A"/>
        <w:tabs>
          <w:tab w:val="left" w:pos="720"/>
        </w:tabs>
        <w:jc w:val="center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 xml:space="preserve">Студент </w:t>
      </w:r>
      <w:r>
        <w:rPr>
          <w:i w:val="1"/>
          <w:iCs w:val="1"/>
          <w:rtl w:val="0"/>
          <w:lang w:val="ru-RU"/>
        </w:rPr>
        <w:t xml:space="preserve">4 </w:t>
      </w:r>
      <w:r>
        <w:rPr>
          <w:i w:val="1"/>
          <w:iCs w:val="1"/>
          <w:rtl w:val="0"/>
          <w:lang w:val="ru-RU"/>
        </w:rPr>
        <w:t>курса</w:t>
      </w:r>
    </w:p>
    <w:p>
      <w:pPr>
        <w:pStyle w:val="Основной текст A"/>
        <w:tabs>
          <w:tab w:val="left" w:pos="720"/>
        </w:tabs>
        <w:jc w:val="center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Московский государственный университет имени М</w:t>
      </w:r>
      <w:r>
        <w:rPr>
          <w:i w:val="1"/>
          <w:iCs w:val="1"/>
          <w:rtl w:val="0"/>
          <w:lang w:val="ru-RU"/>
        </w:rPr>
        <w:t>.</w:t>
      </w:r>
      <w:r>
        <w:rPr>
          <w:i w:val="1"/>
          <w:iCs w:val="1"/>
          <w:rtl w:val="0"/>
          <w:lang w:val="ru-RU"/>
        </w:rPr>
        <w:t>В</w:t>
      </w:r>
      <w:r>
        <w:rPr>
          <w:i w:val="1"/>
          <w:iCs w:val="1"/>
          <w:rtl w:val="0"/>
          <w:lang w:val="ru-RU"/>
        </w:rPr>
        <w:t>.</w:t>
      </w:r>
      <w:r>
        <w:rPr>
          <w:i w:val="1"/>
          <w:iCs w:val="1"/>
          <w:rtl w:val="0"/>
          <w:lang w:val="ru-RU"/>
        </w:rPr>
        <w:t>Ломоносова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исторический факультет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Москва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Россия</w:t>
      </w:r>
    </w:p>
    <w:p>
      <w:pPr>
        <w:pStyle w:val="Основной текст A"/>
        <w:tabs>
          <w:tab w:val="left" w:pos="720"/>
        </w:tabs>
        <w:jc w:val="center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E</w:t>
      </w:r>
      <w:r>
        <w:rPr>
          <w:i w:val="1"/>
          <w:iCs w:val="1"/>
          <w:rtl w:val="0"/>
          <w:lang w:val="ru-RU"/>
        </w:rPr>
        <w:t>–</w:t>
      </w:r>
      <w:r>
        <w:rPr>
          <w:i w:val="1"/>
          <w:iCs w:val="1"/>
          <w:rtl w:val="0"/>
          <w:lang w:val="ru-RU"/>
        </w:rPr>
        <w:t xml:space="preserve">mail: </w:t>
      </w:r>
      <w:r>
        <w:rPr>
          <w:i w:val="1"/>
          <w:iCs w:val="1"/>
          <w:rtl w:val="0"/>
          <w:lang w:val="en-US"/>
        </w:rPr>
        <w:t>mamedova-maiya</w:t>
      </w:r>
      <w:r>
        <w:rPr>
          <w:i w:val="1"/>
          <w:iCs w:val="1"/>
          <w:rtl w:val="0"/>
          <w:lang w:val="ru-RU"/>
        </w:rPr>
        <w:t>@</w:t>
      </w:r>
      <w:r>
        <w:rPr>
          <w:i w:val="1"/>
          <w:iCs w:val="1"/>
          <w:rtl w:val="0"/>
          <w:lang w:val="en-US"/>
        </w:rPr>
        <w:t>mail</w:t>
      </w:r>
      <w:r>
        <w:rPr>
          <w:i w:val="1"/>
          <w:iCs w:val="1"/>
          <w:rtl w:val="0"/>
          <w:lang w:val="ru-RU"/>
        </w:rPr>
        <w:t>.ru</w:t>
      </w:r>
    </w:p>
    <w:p>
      <w:pPr>
        <w:pStyle w:val="List Paragraph"/>
        <w:spacing w:after="0" w:line="240" w:lineRule="auto"/>
        <w:ind w:left="0" w:firstLine="709"/>
        <w:jc w:val="both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Гендерный код представляет собой один из способов репрезентации культуры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женский идеал может рассматриваться как часть этнической идентичности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национальной мифологии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отражающей ценности народа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Отсутствие основополагающих работ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которых гендерная концепция была бы связана именно с особенностями этнического самосознания </w:t>
      </w:r>
      <w:r>
        <w:rPr>
          <w:rFonts w:ascii="Times New Roman" w:hAnsi="Times New Roman"/>
          <w:sz w:val="24"/>
          <w:szCs w:val="24"/>
          <w:rtl w:val="0"/>
          <w:lang w:val="pt-PT"/>
        </w:rPr>
        <w:t>[</w:t>
      </w:r>
      <w:r>
        <w:rPr>
          <w:rFonts w:ascii="Times New Roman" w:hAnsi="Times New Roman"/>
          <w:sz w:val="24"/>
          <w:szCs w:val="24"/>
          <w:rtl w:val="0"/>
          <w:lang w:val="ru-RU"/>
        </w:rPr>
        <w:t>2: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57],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фокус на анализе фольклорных </w:t>
      </w:r>
      <w:r>
        <w:rPr>
          <w:rFonts w:ascii="Times New Roman" w:hAnsi="Times New Roman"/>
          <w:sz w:val="24"/>
          <w:szCs w:val="24"/>
          <w:rtl w:val="0"/>
          <w:lang w:val="pt-PT"/>
        </w:rPr>
        <w:t>[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Колчева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89]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 художественных текстов </w:t>
      </w:r>
      <w:r>
        <w:rPr>
          <w:rFonts w:ascii="Times New Roman" w:hAnsi="Times New Roman"/>
          <w:sz w:val="24"/>
          <w:szCs w:val="24"/>
          <w:rtl w:val="0"/>
          <w:lang w:val="pt-PT"/>
        </w:rPr>
        <w:t>[</w:t>
      </w:r>
      <w:r>
        <w:rPr>
          <w:rFonts w:ascii="Times New Roman" w:hAnsi="Times New Roman"/>
          <w:sz w:val="24"/>
          <w:szCs w:val="24"/>
          <w:rtl w:val="0"/>
          <w:lang w:val="ru-RU"/>
        </w:rPr>
        <w:t>4: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59],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выявляющих установки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свойственные традиционной культуре делают актуальной постановку проблемы о современном гендерном стереотипе «идеальной марийской женщины»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Хотя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согласно данным социологического исследования 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Шабыкова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Кудрявцевой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женщины республики Марий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Эл осознанно сохраняют «привязанность к национально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культурным ценностям своего народа»  </w:t>
      </w:r>
      <w:r>
        <w:rPr>
          <w:rFonts w:ascii="Times New Roman" w:hAnsi="Times New Roman"/>
          <w:sz w:val="24"/>
          <w:szCs w:val="24"/>
          <w:rtl w:val="0"/>
          <w:lang w:val="pt-PT"/>
        </w:rPr>
        <w:t>[</w:t>
      </w:r>
      <w:r>
        <w:rPr>
          <w:rFonts w:ascii="Times New Roman" w:hAnsi="Times New Roman"/>
          <w:sz w:val="24"/>
          <w:szCs w:val="24"/>
          <w:rtl w:val="0"/>
          <w:lang w:val="ru-RU"/>
        </w:rPr>
        <w:t>6: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112],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нельзя отрицать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национально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этнический гендерный стереотип общества традиционного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земледельческого испытал влияние советской гендерной программы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современных тенденций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связанных с “актуализацией этнической идентичности” с конца </w:t>
      </w:r>
      <w:r>
        <w:rPr>
          <w:rFonts w:ascii="Times New Roman" w:hAnsi="Times New Roman"/>
          <w:sz w:val="24"/>
          <w:szCs w:val="24"/>
          <w:rtl w:val="0"/>
          <w:lang w:val="ru-RU"/>
        </w:rPr>
        <w:t>1990-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 гг</w:t>
      </w:r>
      <w:r>
        <w:rPr>
          <w:rFonts w:ascii="Times New Roman" w:hAnsi="Times New Roman"/>
          <w:sz w:val="24"/>
          <w:szCs w:val="24"/>
          <w:rtl w:val="0"/>
          <w:lang w:val="pt-PT"/>
        </w:rPr>
        <w:t>. [</w:t>
      </w:r>
      <w:r>
        <w:rPr>
          <w:rFonts w:ascii="Times New Roman" w:hAnsi="Times New Roman"/>
          <w:sz w:val="24"/>
          <w:szCs w:val="24"/>
          <w:rtl w:val="0"/>
          <w:lang w:val="ru-RU"/>
        </w:rPr>
        <w:t>5: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1263]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таким образом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был переосмыслен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Для проверки настоящей гипотезы мною были собраны полевые материалы в Республике Марий Эл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Медведевский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Моркинский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Сернурский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Горномарийский районы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июле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2023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позволили выявить актуальные представления о женском идеале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ходе интервьюирования мне было важно понять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межпоколенческая связь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выступающая способом трансляции традиционных ценностей культуры мари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влияет на формирование гендерной идентичности современной марийской женщин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опрос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задаваемые на интервью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делились на два блока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1)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формированию гендерного и этнического самосознания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2)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повседневности современной марийской 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</w:p>
    <w:p>
      <w:pPr>
        <w:pStyle w:val="List Paragraph"/>
        <w:spacing w:after="0" w:line="240" w:lineRule="auto"/>
        <w:ind w:left="0" w:firstLine="709"/>
        <w:jc w:val="both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Работа с информантами опирается на методологию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представленную 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Нейплс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заключающуюся в понимании и интерпретации  сложных социальных и политических процессов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очевидных в конкретных контекстах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[7: 8],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что обосновывается спецификой выборки информантов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женщины в возрасте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>20-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ти до </w:t>
      </w:r>
      <w:r>
        <w:rPr>
          <w:rFonts w:ascii="Times New Roman" w:hAnsi="Times New Roman"/>
          <w:sz w:val="24"/>
          <w:szCs w:val="24"/>
          <w:rtl w:val="0"/>
          <w:lang w:val="ru-RU"/>
        </w:rPr>
        <w:t>65-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ти лет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тематикой исследования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предполагающей рефлексию исследуемых о месте женщины в местном обществе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анализе данных использовался интерсекциональный подход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согласно которому гендер рассматривается во взаимодействии с прочими социальными характеристиками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этничность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класс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оказывая влияние на них </w:t>
      </w:r>
      <w:r>
        <w:rPr>
          <w:rFonts w:ascii="Times New Roman" w:hAnsi="Times New Roman"/>
          <w:sz w:val="24"/>
          <w:szCs w:val="24"/>
          <w:rtl w:val="0"/>
          <w:lang w:val="pt-PT"/>
        </w:rPr>
        <w:t>[1: 136].</w:t>
      </w:r>
    </w:p>
    <w:p>
      <w:pPr>
        <w:pStyle w:val="Основной текст A"/>
        <w:rPr>
          <w:rFonts w:ascii="Times Roman" w:cs="Times Roman" w:hAnsi="Times Roman" w:eastAsia="Times Roman"/>
        </w:rPr>
      </w:pPr>
      <w:r>
        <w:rPr>
          <w:rtl w:val="0"/>
          <w:lang w:val="ru-RU"/>
        </w:rPr>
        <w:t>В ходе исследования были обоснованы следующие тезисы</w:t>
      </w:r>
      <w:r>
        <w:rPr>
          <w:rtl w:val="0"/>
          <w:lang w:val="ru-RU"/>
        </w:rPr>
        <w:t xml:space="preserve">: 1) </w:t>
      </w:r>
      <w:r>
        <w:rPr>
          <w:rtl w:val="0"/>
          <w:lang w:val="ru-RU"/>
        </w:rPr>
        <w:t>Выявленные гендерные и этнические стереотипы сформированы в результате оппозиций мари и татарки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русские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деревня и город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то есть идеал марийская женщина совпадает со идеалом крестьянки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«семейная»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«трудолюбивая»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«скромная»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 xml:space="preserve">противопоставляемом стереотипу о представительницах других этносов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«распутные»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«знают себе цену»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«деловые»</w:t>
      </w:r>
      <w:r>
        <w:rPr>
          <w:rtl w:val="0"/>
          <w:lang w:val="ru-RU"/>
        </w:rPr>
        <w:t xml:space="preserve">); 2) </w:t>
      </w:r>
      <w:r>
        <w:rPr>
          <w:rtl w:val="0"/>
          <w:lang w:val="ru-RU"/>
        </w:rPr>
        <w:t>Ключевой чертой идеала современной марийской женщины для информантов является гармоничное сочетание семейственности и личной реализации женщины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отражает преемственность между представлениями старшего поколения </w:t>
      </w:r>
      <w:r>
        <w:rPr>
          <w:rtl w:val="0"/>
          <w:lang w:val="ru-RU"/>
        </w:rPr>
        <w:t xml:space="preserve">(1955-1970 </w:t>
      </w:r>
      <w:r>
        <w:rPr>
          <w:rtl w:val="0"/>
          <w:lang w:val="ru-RU"/>
        </w:rPr>
        <w:t>гг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р</w:t>
      </w:r>
      <w:r>
        <w:rPr>
          <w:rtl w:val="0"/>
          <w:lang w:val="ru-RU"/>
        </w:rPr>
        <w:t xml:space="preserve">.) </w:t>
      </w:r>
      <w:r>
        <w:rPr>
          <w:rtl w:val="0"/>
          <w:lang w:val="ru-RU"/>
        </w:rPr>
        <w:t xml:space="preserve">и молодого </w:t>
      </w:r>
      <w:r>
        <w:rPr>
          <w:rtl w:val="0"/>
          <w:lang w:val="ru-RU"/>
        </w:rPr>
        <w:t xml:space="preserve">(1971-1999 </w:t>
      </w:r>
      <w:r>
        <w:rPr>
          <w:rtl w:val="0"/>
          <w:lang w:val="ru-RU"/>
        </w:rPr>
        <w:t>гг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р</w:t>
      </w:r>
      <w:r>
        <w:rPr>
          <w:rtl w:val="0"/>
          <w:lang w:val="ru-RU"/>
        </w:rPr>
        <w:t xml:space="preserve">.) </w:t>
      </w:r>
      <w:r>
        <w:rPr>
          <w:rtl w:val="0"/>
          <w:lang w:val="ru-RU"/>
        </w:rPr>
        <w:t>при переходе от преимущественно сельского к городскому образу жизни</w:t>
      </w:r>
      <w:r>
        <w:rPr>
          <w:rtl w:val="0"/>
          <w:lang w:val="ru-RU"/>
        </w:rPr>
        <w:t>.</w:t>
      </w:r>
    </w:p>
    <w:p>
      <w:pPr>
        <w:pStyle w:val="Основной текст A"/>
      </w:pPr>
    </w:p>
    <w:p>
      <w:pPr>
        <w:pStyle w:val="Основной текст A"/>
        <w:numPr>
          <w:ilvl w:val="0"/>
          <w:numId w:val="2"/>
        </w:numPr>
        <w:rPr>
          <w:lang w:val="ru-RU"/>
        </w:rPr>
      </w:pPr>
      <w:r>
        <w:rPr>
          <w:shd w:val="clear" w:color="auto" w:fill="ffffff"/>
          <w:rtl w:val="0"/>
          <w:lang w:val="ru-RU"/>
        </w:rPr>
        <w:t xml:space="preserve">12 </w:t>
      </w:r>
      <w:r>
        <w:rPr>
          <w:shd w:val="clear" w:color="auto" w:fill="ffffff"/>
          <w:rtl w:val="0"/>
          <w:lang w:val="ru-RU"/>
        </w:rPr>
        <w:t>лекций по гендерной социологии</w:t>
      </w:r>
      <w:r>
        <w:rPr>
          <w:shd w:val="clear" w:color="auto" w:fill="ffffff"/>
          <w:rtl w:val="0"/>
          <w:lang w:val="ru-RU"/>
        </w:rPr>
        <w:t xml:space="preserve">: </w:t>
      </w:r>
      <w:r>
        <w:rPr>
          <w:shd w:val="clear" w:color="auto" w:fill="ffffff"/>
          <w:rtl w:val="0"/>
          <w:lang w:val="ru-RU"/>
        </w:rPr>
        <w:t xml:space="preserve">учебное пособие </w:t>
      </w:r>
      <w:r>
        <w:rPr>
          <w:shd w:val="clear" w:color="auto" w:fill="ffffff"/>
          <w:rtl w:val="0"/>
          <w:lang w:val="ru-RU"/>
        </w:rPr>
        <w:t xml:space="preserve">/ </w:t>
      </w:r>
      <w:r>
        <w:rPr>
          <w:shd w:val="clear" w:color="auto" w:fill="ffffff"/>
          <w:rtl w:val="0"/>
          <w:lang w:val="ru-RU"/>
        </w:rPr>
        <w:t>Е</w:t>
      </w:r>
      <w:r>
        <w:rPr>
          <w:shd w:val="clear" w:color="auto" w:fill="ffffff"/>
          <w:rtl w:val="0"/>
          <w:lang w:val="ru-RU"/>
        </w:rPr>
        <w:t>.</w:t>
      </w:r>
      <w:r>
        <w:rPr>
          <w:shd w:val="clear" w:color="auto" w:fill="ffffff"/>
          <w:rtl w:val="0"/>
          <w:lang w:val="ru-RU"/>
        </w:rPr>
        <w:t>А</w:t>
      </w:r>
      <w:r>
        <w:rPr>
          <w:shd w:val="clear" w:color="auto" w:fill="ffffff"/>
          <w:rtl w:val="0"/>
          <w:lang w:val="ru-RU"/>
        </w:rPr>
        <w:t>.</w:t>
      </w:r>
      <w:r>
        <w:rPr>
          <w:shd w:val="clear" w:color="auto" w:fill="ffffff"/>
          <w:rtl w:val="0"/>
          <w:lang w:val="ru-RU"/>
        </w:rPr>
        <w:t> Здравомыслова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shd w:val="clear" w:color="auto" w:fill="ffffff"/>
          <w:rtl w:val="0"/>
          <w:lang w:val="ru-RU"/>
        </w:rPr>
        <w:t>А</w:t>
      </w:r>
      <w:r>
        <w:rPr>
          <w:shd w:val="clear" w:color="auto" w:fill="ffffff"/>
          <w:rtl w:val="0"/>
          <w:lang w:val="ru-RU"/>
        </w:rPr>
        <w:t xml:space="preserve">. </w:t>
      </w:r>
      <w:r>
        <w:rPr>
          <w:shd w:val="clear" w:color="auto" w:fill="ffffff"/>
          <w:rtl w:val="0"/>
          <w:lang w:val="ru-RU"/>
        </w:rPr>
        <w:t>А</w:t>
      </w:r>
      <w:r>
        <w:rPr>
          <w:shd w:val="clear" w:color="auto" w:fill="ffffff"/>
          <w:rtl w:val="0"/>
          <w:lang w:val="ru-RU"/>
        </w:rPr>
        <w:t xml:space="preserve">. </w:t>
      </w:r>
      <w:r>
        <w:rPr>
          <w:shd w:val="clear" w:color="auto" w:fill="ffffff"/>
          <w:rtl w:val="0"/>
          <w:lang w:val="ru-RU"/>
        </w:rPr>
        <w:t>Тёмкина</w:t>
      </w:r>
      <w:r>
        <w:rPr>
          <w:shd w:val="clear" w:color="auto" w:fill="ffffff"/>
          <w:rtl w:val="0"/>
          <w:lang w:val="ru-RU"/>
        </w:rPr>
        <w:t xml:space="preserve">. </w:t>
      </w:r>
      <w:r>
        <w:rPr>
          <w:shd w:val="clear" w:color="auto" w:fill="ffffff"/>
          <w:rtl w:val="0"/>
          <w:lang w:val="ru-RU"/>
        </w:rPr>
        <w:t>СПб</w:t>
      </w:r>
      <w:r>
        <w:rPr>
          <w:shd w:val="clear" w:color="auto" w:fill="ffffff"/>
          <w:rtl w:val="0"/>
          <w:lang w:val="ru-RU"/>
        </w:rPr>
        <w:t>., 2015.</w:t>
      </w:r>
    </w:p>
    <w:p>
      <w:pPr>
        <w:pStyle w:val="Основной текст A"/>
        <w:numPr>
          <w:ilvl w:val="0"/>
          <w:numId w:val="2"/>
        </w:numPr>
        <w:rPr>
          <w:lang w:val="ru-RU"/>
        </w:rPr>
      </w:pPr>
      <w:r>
        <w:rPr>
          <w:rtl w:val="0"/>
          <w:lang w:val="ru-RU"/>
        </w:rPr>
        <w:t>Глухова Н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Гендерная репрезентация этнической идентичности мари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к постановке проблемы </w:t>
      </w:r>
      <w:r>
        <w:rPr>
          <w:rtl w:val="0"/>
          <w:lang w:val="ru-RU"/>
        </w:rPr>
        <w:t xml:space="preserve">// </w:t>
      </w:r>
      <w:r>
        <w:rPr>
          <w:rtl w:val="0"/>
          <w:lang w:val="ru-RU"/>
        </w:rPr>
        <w:t>Исторические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философские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политические и юридические науки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культурология и искусствоведение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Вопросы теории и практики</w:t>
      </w:r>
      <w:r>
        <w:rPr>
          <w:rtl w:val="0"/>
          <w:lang w:val="ru-RU"/>
        </w:rPr>
        <w:t xml:space="preserve">, 2014. </w:t>
      </w:r>
      <w:r>
        <w:rPr>
          <w:rtl w:val="0"/>
          <w:lang w:val="ru-RU"/>
        </w:rPr>
        <w:t xml:space="preserve">№ </w:t>
      </w:r>
      <w:r>
        <w:rPr>
          <w:rtl w:val="0"/>
          <w:lang w:val="ru-RU"/>
        </w:rPr>
        <w:t xml:space="preserve">7 (45): </w:t>
      </w:r>
      <w:r>
        <w:rPr>
          <w:rtl w:val="0"/>
          <w:lang w:val="ru-RU"/>
        </w:rPr>
        <w:t xml:space="preserve">в </w:t>
      </w:r>
      <w:r>
        <w:rPr>
          <w:rtl w:val="0"/>
          <w:lang w:val="ru-RU"/>
        </w:rPr>
        <w:t>2-</w:t>
      </w:r>
      <w:r>
        <w:rPr>
          <w:rtl w:val="0"/>
          <w:lang w:val="ru-RU"/>
        </w:rPr>
        <w:t>х ч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</w:t>
      </w:r>
      <w:r>
        <w:rPr>
          <w:rtl w:val="0"/>
          <w:lang w:val="ru-RU"/>
        </w:rPr>
        <w:t>. II. C. 57-59.</w:t>
      </w:r>
    </w:p>
    <w:p>
      <w:pPr>
        <w:pStyle w:val="Основной текст A"/>
        <w:numPr>
          <w:ilvl w:val="0"/>
          <w:numId w:val="2"/>
        </w:numPr>
        <w:rPr>
          <w:lang w:val="ru-RU"/>
        </w:rPr>
      </w:pPr>
      <w:r>
        <w:rPr>
          <w:rtl w:val="0"/>
          <w:lang w:val="ru-RU"/>
        </w:rPr>
        <w:t>Колчева Э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Юмынÿдыр как женский архетип традиционной культуры народа мари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опыт 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психологического анализа </w:t>
      </w:r>
      <w:r>
        <w:rPr>
          <w:rtl w:val="0"/>
          <w:lang w:val="ru-RU"/>
        </w:rPr>
        <w:t xml:space="preserve">// </w:t>
      </w:r>
      <w:r>
        <w:rPr>
          <w:rtl w:val="0"/>
          <w:lang w:val="ru-RU"/>
        </w:rPr>
        <w:t>Финно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угорский мир </w:t>
      </w:r>
      <w:r>
        <w:rPr>
          <w:rtl w:val="0"/>
          <w:lang w:val="ru-RU"/>
        </w:rPr>
        <w:t xml:space="preserve">. 2016. </w:t>
      </w:r>
      <w:r>
        <w:rPr>
          <w:rtl w:val="0"/>
          <w:lang w:val="ru-RU"/>
        </w:rPr>
        <w:t>№</w:t>
      </w:r>
      <w:r>
        <w:rPr>
          <w:rtl w:val="0"/>
          <w:lang w:val="ru-RU"/>
        </w:rPr>
        <w:t xml:space="preserve">3 (28). 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>. 88-92.</w:t>
      </w:r>
    </w:p>
    <w:p>
      <w:pPr>
        <w:pStyle w:val="Основной текст A"/>
        <w:numPr>
          <w:ilvl w:val="0"/>
          <w:numId w:val="2"/>
        </w:numPr>
        <w:rPr>
          <w:lang w:val="ru-RU"/>
        </w:rPr>
      </w:pPr>
      <w:r>
        <w:rPr>
          <w:rtl w:val="0"/>
          <w:lang w:val="ru-RU"/>
        </w:rPr>
        <w:t>Соколова М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Особенности проявления гендерной идентичности марийской женщины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 материале повести З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Катковой</w:t>
      </w:r>
      <w:r>
        <w:rPr>
          <w:rtl w:val="0"/>
          <w:lang w:val="ru-RU"/>
        </w:rPr>
        <w:t xml:space="preserve">) // </w:t>
      </w:r>
      <w:r>
        <w:rPr>
          <w:rtl w:val="0"/>
          <w:lang w:val="ru-RU"/>
        </w:rPr>
        <w:t>Финно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угорский мир </w:t>
      </w:r>
      <w:r>
        <w:rPr>
          <w:rtl w:val="0"/>
          <w:lang w:val="ru-RU"/>
        </w:rPr>
        <w:t xml:space="preserve">. 2015. </w:t>
      </w:r>
      <w:r>
        <w:rPr>
          <w:rtl w:val="0"/>
          <w:lang w:val="ru-RU"/>
        </w:rPr>
        <w:t>№</w:t>
      </w:r>
      <w:r>
        <w:rPr>
          <w:rtl w:val="0"/>
          <w:lang w:val="ru-RU"/>
        </w:rPr>
        <w:t xml:space="preserve">1 (22). 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 xml:space="preserve">  </w:t>
      </w:r>
      <w:r>
        <w:rPr>
          <w:rtl w:val="0"/>
          <w:lang w:val="ru-RU"/>
        </w:rPr>
        <w:t>56-61.</w:t>
      </w:r>
    </w:p>
    <w:p>
      <w:pPr>
        <w:pStyle w:val="Основной текст A"/>
        <w:numPr>
          <w:ilvl w:val="0"/>
          <w:numId w:val="2"/>
        </w:numPr>
        <w:rPr>
          <w:lang w:val="ru-RU"/>
        </w:rPr>
      </w:pPr>
      <w:r>
        <w:rPr>
          <w:rtl w:val="0"/>
          <w:lang w:val="ru-RU"/>
        </w:rPr>
        <w:t>Устьянцев Г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Символическое пространство марийской национальной идеи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миф в актуализации марийской идентичности постсоветского периода </w:t>
      </w:r>
      <w:r>
        <w:rPr>
          <w:rtl w:val="0"/>
          <w:lang w:val="ru-RU"/>
        </w:rPr>
        <w:t xml:space="preserve">// </w:t>
      </w:r>
      <w:r>
        <w:rPr>
          <w:rtl w:val="0"/>
          <w:lang w:val="ru-RU"/>
        </w:rPr>
        <w:t>Вестник Удмуртского университета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Серия «История и филология»</w:t>
      </w:r>
      <w:r>
        <w:rPr>
          <w:rtl w:val="0"/>
          <w:lang w:val="ru-RU"/>
        </w:rPr>
        <w:t xml:space="preserve">. 2022. </w:t>
      </w:r>
      <w:r>
        <w:rPr>
          <w:rtl w:val="0"/>
          <w:lang w:val="ru-RU"/>
        </w:rPr>
        <w:t>№</w:t>
      </w:r>
      <w:r>
        <w:rPr>
          <w:rtl w:val="0"/>
          <w:lang w:val="ru-RU"/>
        </w:rPr>
        <w:t xml:space="preserve">6. 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>. 1263-1273.</w:t>
      </w:r>
    </w:p>
    <w:p>
      <w:pPr>
        <w:pStyle w:val="Основной текст A"/>
        <w:numPr>
          <w:ilvl w:val="0"/>
          <w:numId w:val="2"/>
        </w:numPr>
        <w:rPr>
          <w:lang w:val="ru-RU"/>
        </w:rPr>
      </w:pPr>
      <w:r>
        <w:rPr>
          <w:rtl w:val="0"/>
          <w:lang w:val="ru-RU"/>
        </w:rPr>
        <w:t>Шабыков В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 xml:space="preserve">., </w:t>
      </w:r>
      <w:r>
        <w:rPr>
          <w:rtl w:val="0"/>
          <w:lang w:val="ru-RU"/>
        </w:rPr>
        <w:t>Кудрявцева Р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Этнокультурные ценности и межэтнические ориентации населения республики Марий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Эл </w:t>
      </w:r>
      <w:r>
        <w:rPr>
          <w:rtl w:val="0"/>
          <w:lang w:val="ru-RU"/>
        </w:rPr>
        <w:t xml:space="preserve">// </w:t>
      </w:r>
      <w:r>
        <w:rPr>
          <w:rtl w:val="0"/>
          <w:lang w:val="ru-RU"/>
        </w:rPr>
        <w:t>Финно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угорский мир </w:t>
      </w:r>
      <w:r>
        <w:rPr>
          <w:rtl w:val="0"/>
          <w:lang w:val="ru-RU"/>
        </w:rPr>
        <w:t xml:space="preserve">. 2015. </w:t>
      </w:r>
      <w:r>
        <w:rPr>
          <w:rtl w:val="0"/>
          <w:lang w:val="ru-RU"/>
        </w:rPr>
        <w:t>№</w:t>
      </w:r>
      <w:r>
        <w:rPr>
          <w:rtl w:val="0"/>
          <w:lang w:val="ru-RU"/>
        </w:rPr>
        <w:t xml:space="preserve">1 (22). 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>. 112-119.</w:t>
      </w:r>
    </w:p>
    <w:p>
      <w:pPr>
        <w:pStyle w:val="Основной текст A"/>
        <w:numPr>
          <w:ilvl w:val="0"/>
          <w:numId w:val="2"/>
        </w:numPr>
        <w:rPr>
          <w:lang w:val="ru-RU"/>
        </w:rPr>
      </w:pPr>
      <w:r>
        <w:rPr>
          <w:shd w:val="clear" w:color="auto" w:fill="ffffff"/>
          <w:rtl w:val="0"/>
          <w:lang w:val="ru-RU"/>
        </w:rPr>
        <w:t xml:space="preserve">Naples, Nancy A. Feminism and method: ethnography, discourse analysis, and activist research. New York, 2003. </w:t>
      </w:r>
    </w:p>
    <w:sectPr>
      <w:headerReference w:type="default" r:id="rId4"/>
      <w:footerReference w:type="default" r:id="rId5"/>
      <w:pgSz w:w="11900" w:h="16840" w:orient="portrait"/>
      <w:pgMar w:top="1134" w:right="1417" w:bottom="1134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4"/>
  </w:abstractNum>
  <w:abstractNum w:abstractNumId="1">
    <w:multiLevelType w:val="hybridMultilevel"/>
    <w:styleLink w:val="Импортированный стиль 4"/>
    <w:lvl w:ilvl="0">
      <w:start w:val="1"/>
      <w:numFmt w:val="decimal"/>
      <w:suff w:val="tab"/>
      <w:lvlText w:val="%1."/>
      <w:lvlJc w:val="left"/>
      <w:pPr>
        <w:tabs>
          <w:tab w:val="num" w:pos="1304"/>
        </w:tabs>
        <w:ind w:left="595" w:firstLine="33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304"/>
          <w:tab w:val="num" w:pos="1524"/>
        </w:tabs>
        <w:ind w:left="815" w:firstLine="33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1304"/>
          <w:tab w:val="num" w:pos="1744"/>
        </w:tabs>
        <w:ind w:left="1035" w:firstLine="33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304"/>
          <w:tab w:val="num" w:pos="1964"/>
        </w:tabs>
        <w:ind w:left="1255" w:firstLine="33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1304"/>
          <w:tab w:val="num" w:pos="2184"/>
        </w:tabs>
        <w:ind w:left="1475" w:firstLine="33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1304"/>
          <w:tab w:val="num" w:pos="2404"/>
        </w:tabs>
        <w:ind w:left="1695" w:firstLine="33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304"/>
          <w:tab w:val="num" w:pos="2624"/>
        </w:tabs>
        <w:ind w:left="1915" w:firstLine="33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1304"/>
          <w:tab w:val="num" w:pos="2844"/>
        </w:tabs>
        <w:ind w:left="2135" w:firstLine="33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1304"/>
          <w:tab w:val="num" w:pos="3064"/>
        </w:tabs>
        <w:ind w:left="2355" w:firstLine="33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709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4">
    <w:name w:val="Импортированный стиль 4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