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ustom.xml" Type="http://schemas.openxmlformats.org/officeDocument/2006/relationships/custom-properties"/><Relationship Id="rId4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Bdr/>
        <w:ind w:left="0"/>
        <w:jc w:val="center"/>
        <w:rPr>
          <w:strike w:val="false"/>
          <w:u w:val="none"/>
          <w:rFonts w:ascii="Times New Roman" w:eastAsia="Times New Roman" w:hAnsi="Times New Roman" w:cs="Times New Roman"/>
          <w:sz w:val="24"/>
          <w:shd w:fill="FFFFFF" w:val="clear" w:color="auto"/>
        </w:rPr>
      </w:pPr>
      <w:r>
        <w:rPr/>
        <w:t xml:space="preserve">     </w:t>
      </w:r>
      <w:r>
        <w:rPr>
          <w:rFonts w:ascii="Liberation Serif Regular" w:eastAsia="Liberation Serif Regular" w:hAnsi="Liberation Serif Regular" w:cs="Liberation Serif Regular"/>
          <w:sz w:val="24"/>
        </w:rPr>
        <w:t xml:space="preserve">  </w:t>
      </w:r>
      <w:r>
        <w:rPr>
          <w:rFonts w:ascii="Times New Roman" w:eastAsia="Times New Roman" w:hAnsi="Times New Roman" w:cs="Times New Roman"/>
          <w:b w:val="true"/>
          <w:sz w:val="24"/>
        </w:rPr>
        <w:t>Смертность божества в аниме-культуре. Антропоморфизм мифологического персонажа</w:t>
      </w:r>
    </w:p>
    <w:p>
      <w:pPr>
        <w:pBdr/>
        <w:ind w:left="0"/>
        <w:jc w:val="both"/>
        <w:rPr>
          <w:strike w:val="false"/>
          <w:u w:val="none"/>
          <w:rFonts w:ascii="Times New Roman" w:eastAsia="Times New Roman" w:hAnsi="Times New Roman" w:cs="Times New Roman"/>
          <w:sz w:val="24"/>
          <w:shd w:fill="FFFFFF" w:val="clear" w:color="auto"/>
        </w:rPr>
      </w:pPr>
      <w:r>
        <w:rPr>
          <w:strike w:val="false"/>
          <w:u w:val="none"/>
          <w:rFonts w:ascii="Times New Roman" w:eastAsia="Times New Roman" w:hAnsi="Times New Roman" w:cs="Times New Roman"/>
          <w:sz w:val="24"/>
          <w:shd w:fill="FFFFFF" w:val="clear" w:color="auto"/>
        </w:rPr>
        <w:t xml:space="preserve">       </w:t>
      </w:r>
      <w:r>
        <w:rPr>
          <w:strike w:val="false"/>
          <w:u w:val="none"/>
          <w:rFonts w:ascii="Times New Roman" w:eastAsia="Times New Roman" w:hAnsi="Times New Roman" w:cs="Times New Roman"/>
          <w:sz w:val="24"/>
          <w:shd w:fill="FFFFFF" w:val="clear" w:color="auto"/>
        </w:rPr>
        <w:t>В докладе рассматривается тема смерти синтоистских божеств в современной японской анимации. Исследование основано на анализе аудиально-визуальных источников (самой анимации непосредственно), а также письменных текстов, содержащих обобщающую информацию о традиционной японской мифологии (Кодзики (</w:t>
      </w:r>
      <w:r>
        <w:rPr>
          <w:rFonts w:ascii="Times New Roman" w:eastAsia="Times New Roman" w:hAnsi="Times New Roman" w:cs="Times New Roman"/>
          <w:strike w:val="false"/>
          <w:u w:val="none"/>
          <w:sz w:val="24"/>
          <w:i w:val="false"/>
          <w:shd w:fill="FFFFFF" w:val="clear" w:color="auto"/>
        </w:rPr>
        <w:t>яп</w:t>
      </w:r>
      <w:r>
        <w:rPr>
          <w:rFonts w:ascii="Times New Roman" w:eastAsia="Times New Roman" w:hAnsi="Times New Roman" w:cs="Times New Roman"/>
          <w:strike w:val="false"/>
          <w:u w:val="none"/>
          <w:sz w:val="24"/>
          <w:shd w:fill="FFFFFF" w:val="clear" w:color="auto"/>
        </w:rPr>
        <w:t>. 古事記) и Нихонги (яп. 日本紀) официальные императорские хроники, созданные в 712 и 720 годах соответственно). В докладе будут рассмотрены появление/рождение, исчезновение и смерть божеств синтоистского пантеона в традиционной мифологии и современных графических интерпретациях. Выбранная тема представляется актуальной для современной молодёжной культуры России в связи с возрастающим спросом на массовую культуру азиатских стран, в том числе, аниме. Русскоязычные поклонники аниме создают собственные сообщества, организуют мероприятия и изучают культуру Японии благодаря просмотру японской анимации. Рассчитанная и на взрослых и на детей, японская анимация в доступной форме показывает широкой аудитории культурные аспекты Японии, в том числе, и синтоизм (как, например, аниме «</w:t>
      </w:r>
      <w:r>
        <w:rPr/>
        <w:t>Мой сосед Тоторо»</w:t>
      </w:r>
      <w:r>
        <w:rPr/>
        <w:t xml:space="preserve"> — яп. </w:t>
      </w:r>
      <w:r>
        <w:rPr>
          <w:rFonts w:ascii="Times New Roman" w:eastAsia="Times New Roman" w:hAnsi="Times New Roman" w:cs="Times New Roman"/>
          <w:sz w:val="24"/>
        </w:rPr>
        <w:t xml:space="preserve">となりのトトロ) [3]. Мне также кажется, что изучение японского опыта будет полезно для исследования традиционных религий коренных народов России, например финно-угров Поволжья. В настощее время в культуре марийцев, удмуртов и других этнических групп наблюдается тенденция к визуализации мифологических образов (богов, духов и т.д.) в комиксах, видеоиграх, мультфильмах. </w:t>
      </w:r>
    </w:p>
    <w:p>
      <w:pPr>
        <w:pBdr/>
        <w:ind w:left="0"/>
        <w:jc w:val="both"/>
        <w:rPr>
          <w:strike w:val="false"/>
          <w:u w:val="none"/>
          <w:rFonts w:ascii="Times New Roman" w:eastAsia="Times New Roman" w:hAnsi="Times New Roman" w:cs="Times New Roman"/>
          <w:sz w:val="24"/>
          <w:shd w:fill="FFFFFF" w:val="clear" w:color="auto"/>
        </w:rPr>
      </w:pPr>
      <w:r>
        <w:rPr>
          <w:rFonts w:ascii="Times New Roman" w:eastAsia="Times New Roman" w:hAnsi="Times New Roman" w:cs="Times New Roman"/>
          <w:strike w:val="false"/>
          <w:u w:val="none"/>
          <w:sz w:val="24"/>
          <w:shd w:fill="FFFFFF" w:val="clear" w:color="auto"/>
        </w:rPr>
        <w:t xml:space="preserve">       </w:t>
      </w:r>
      <w:r>
        <w:rPr>
          <w:rFonts w:ascii="Times New Roman" w:eastAsia="Times New Roman" w:hAnsi="Times New Roman" w:cs="Times New Roman"/>
          <w:strike w:val="false"/>
          <w:u w:val="none"/>
          <w:sz w:val="24"/>
          <w:shd w:fill="FFFFFF" w:val="clear" w:color="auto"/>
        </w:rPr>
        <w:t xml:space="preserve">В современной японской анимации часто репрезентированы биографии божеств японского пантеона: стадии их жизненного цикла, взаимодействие с людьми и т.д. Синтоизм, будучи теантропической религией [1], даёт широкое пространство для интерпретаций, в том числе художественных, в отношении циклов рождения, смерти и перерождения </w:t>
      </w:r>
      <w:r>
        <w:rPr>
          <w:strike w:val="false"/>
          <w:u w:val="none"/>
          <w:rFonts w:ascii="Times New Roman" w:eastAsia="Times New Roman" w:hAnsi="Times New Roman" w:cs="Times New Roman"/>
          <w:sz w:val="24"/>
          <w:i w:val="true"/>
          <w:shd w:fill="FFFFFF" w:val="clear" w:color="auto"/>
        </w:rPr>
        <w:t>ками (</w:t>
      </w:r>
      <w:r>
        <w:rPr>
          <w:rFonts w:ascii="Times New Roman" w:eastAsia="Times New Roman" w:hAnsi="Times New Roman" w:cs="Times New Roman"/>
          <w:strike w:val="false"/>
          <w:u w:val="none"/>
          <w:sz w:val="24"/>
          <w:shd w:fill="FFFFFF" w:val="clear" w:color="auto"/>
        </w:rPr>
        <w:t>японский термин 神, в упрощённом варианте означающий «божество»</w:t>
      </w:r>
      <w:r>
        <w:rPr/>
        <w:t xml:space="preserve"> [2]). </w:t>
      </w:r>
      <w:r>
        <w:rPr>
          <w:rFonts w:ascii="Times New Roman" w:eastAsia="Times New Roman" w:hAnsi="Times New Roman" w:cs="Times New Roman"/>
          <w:sz w:val="24"/>
        </w:rPr>
        <w:t>Японское божество, таким образом, способно рождаться и умирать, подобно человеку. Аналогичное явление мы встречаем в мифе об Идзанами и Идзанаги, записанном в Кодзики и Нихонги, где богиня Идзанами умерла при рождении бога огня Кагуцути, который опалил чрево матери, после чего она попала в Страну Жёлтых Источников (иначе говоря, в «загробный мир») [1]. В текстах традиционной японской мифологии смерть божеств описана нечасто. Тем не менее, данный сюжет очень популярен в современной японской анимации, где существование божеств зависит не только от естественных причин (к примеру, их может убить другой бог), но и от веры в них людей. Существование японского божества в рассматриваемых аниме напрямую связано с признанием их силы верующими. Например, в анимации «Бездомный бог»</w:t>
      </w:r>
      <w:r>
        <w:rPr/>
        <w:t xml:space="preserve"> (яп. </w:t>
      </w:r>
      <w:r>
        <w:rPr>
          <w:rFonts w:ascii="Times New Roman" w:eastAsia="Times New Roman" w:hAnsi="Times New Roman" w:cs="Times New Roman"/>
          <w:strike w:val="false"/>
          <w:u w:val="none"/>
          <w:sz w:val="24"/>
          <w:shd w:fill="FFFFFF" w:val="clear" w:color="auto"/>
        </w:rPr>
        <w:t>ノラガミ) главный герой-божество выполняет мелкие поручения немногочисленных верующих, чтобы продлить свою жизнь; а в аниме «Очень приятно, бог»</w:t>
      </w:r>
      <w:r>
        <w:rPr/>
        <w:t xml:space="preserve"> (яп. </w:t>
      </w:r>
      <w:r>
        <w:rPr>
          <w:rFonts w:ascii="Times New Roman" w:eastAsia="Times New Roman" w:hAnsi="Times New Roman" w:cs="Times New Roman"/>
          <w:strike w:val="false"/>
          <w:u w:val="none"/>
          <w:sz w:val="24"/>
          <w:shd w:fill="FFFFFF" w:val="clear" w:color="auto"/>
        </w:rPr>
        <w:t>神様はじめました) богиня местной реки Йономори исчезает после того, как люди перестают приходить в её храм и молиться. Также немаловажным для синтоистской мифологии является сюжет о путешествии божеств в Страну Жёлтых Источников. В Кодзики и Нихонги, умерев, Идзанами попадает в страну мёртвых, представляющую собой «подземный мир», откуда затем будет возвращена божественным супругом. Сюжет об исчезновении и возвращении божества часто встречается в анимации, в частности, он раскрыт в уже упомянутых «Бездомном боге» и «Очень приятно, бог»</w:t>
      </w:r>
      <w:r>
        <w:rPr/>
        <w:t xml:space="preserve">. </w:t>
      </w:r>
      <w:r>
        <w:rPr>
          <w:rFonts w:ascii="Times New Roman" w:eastAsia="Times New Roman" w:hAnsi="Times New Roman" w:cs="Times New Roman"/>
          <w:strike w:val="false"/>
          <w:u w:val="none"/>
          <w:sz w:val="24"/>
          <w:shd w:fill="FFFFFF" w:val="clear" w:color="auto"/>
        </w:rPr>
        <w:t xml:space="preserve">Таким образом, в современной японской анимации представлено несколько форм смерти божеств: 1) смерть от убийства другим богом (фактическое умерщвление), которое, однако, не всегда означает фактическую смерть; 2) пребывание в Стране Желтых Источников; 3) исчезновение божества из-за отсутствия веры в него. В современном аниме образы богов становятся более антропоморфными: им присуща способность умирать. Современная массовая культура японцев демонстрирует также особенности религиозного сознания народа: боги теряют свою мощь и власть над людьми, а количество верующих в них синтоистов сокращается. </w:t>
      </w:r>
    </w:p>
    <w:p>
      <w:pPr>
        <w:pBdr/>
        <w:ind w:left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trike w:val="false"/>
          <w:u w:val="none"/>
          <w:sz w:val="24"/>
          <w:shd w:fill="FFFFFF" w:val="clear" w:color="auto"/>
        </w:rPr>
        <w:t>Литература: [1] Накорчевский А. А. Синто. СПб: «Азбука-классика»; «Петербургскоевостоковедение», 2003.</w:t>
      </w:r>
    </w:p>
    <w:p>
      <w:pPr>
        <w:pBdr/>
        <w:spacing w:line="259" w:lineRule="auto" w:after="160"/>
        <w:ind w:left="0"/>
        <w:jc w:val="both"/>
        <w:rPr>
          <w:strike w:val="false"/>
          <w:u w:val="none"/>
          <w:rFonts w:ascii="Times New Roman" w:eastAsia="Times New Roman" w:hAnsi="Times New Roman" w:cs="Times New Roman"/>
          <w:sz w:val="24"/>
          <w:shd w:fill="FFFFFF" w:val="clear" w:color="auto"/>
        </w:rPr>
      </w:pPr>
      <w:r>
        <w:rPr>
          <w:strike w:val="false"/>
          <w:u w:val="none"/>
          <w:rFonts w:ascii="Times New Roman" w:eastAsia="Times New Roman" w:hAnsi="Times New Roman" w:cs="Times New Roman"/>
          <w:sz w:val="24"/>
          <w:shd w:fill="FFFFFF" w:val="clear" w:color="auto"/>
        </w:rPr>
        <w:t xml:space="preserve">[2] </w:t>
      </w:r>
      <w:r>
        <w:rPr>
          <w:rFonts w:ascii="Times New Roman" w:eastAsia="Times New Roman" w:hAnsi="Times New Roman" w:cs="Times New Roman"/>
          <w:sz w:val="24"/>
        </w:rPr>
        <w:t xml:space="preserve">Chris, G. Hall. "Totoros, Boar Gods, and River Spirits: Nature Spirits as Intermediaries in the Animation </w:t>
      </w:r>
      <w:r>
        <w:rPr>
          <w:rFonts w:ascii="Times New Roman" w:eastAsia="Times New Roman" w:hAnsi="Times New Roman" w:cs="Times New Roman"/>
          <w:sz w:val="24"/>
        </w:rPr>
        <w:t xml:space="preserve">of Hayao Miyazaki" </w:t>
      </w:r>
      <w:r>
        <w:rPr>
          <w:rFonts w:ascii="Times New Roman" w:eastAsia="Times New Roman" w:hAnsi="Times New Roman" w:cs="Times New Roman"/>
          <w:sz w:val="24"/>
          <w:i w:val="true"/>
        </w:rPr>
        <w:t>A Journal of the Environmental Humanities</w:t>
      </w:r>
      <w:r>
        <w:rPr>
          <w:rFonts w:ascii="Times New Roman" w:eastAsia="Times New Roman" w:hAnsi="Times New Roman" w:cs="Times New Roman"/>
          <w:sz w:val="24"/>
        </w:rPr>
        <w:t>, Vol. 2, No. 3 (Fall 2015), pp. 158-165, 2015.</w:t>
      </w:r>
    </w:p>
    <w:p>
      <w:pPr>
        <w:pBdr/>
        <w:spacing w:line="259" w:lineRule="auto" w:after="160"/>
        <w:ind w:left="0"/>
        <w:jc w:val="both"/>
        <w:rPr>
          <w:strike w:val="false"/>
          <w:u w:val="none"/>
          <w:rFonts w:ascii="Times New Roman" w:eastAsia="Times New Roman" w:hAnsi="Times New Roman" w:cs="Times New Roman"/>
          <w:sz w:val="24"/>
          <w:shd w:fill="FFFFFF" w:val="clear" w:color="auto"/>
        </w:rPr>
      </w:pPr>
      <w:r>
        <w:rPr>
          <w:strike w:val="false"/>
          <w:u w:val="none"/>
          <w:rFonts w:ascii="Times New Roman" w:eastAsia="Times New Roman" w:hAnsi="Times New Roman" w:cs="Times New Roman"/>
          <w:sz w:val="24"/>
          <w:shd w:fill="FFFFFF" w:val="clear" w:color="auto"/>
        </w:rPr>
        <w:t xml:space="preserve">[3] </w:t>
      </w:r>
      <w:r>
        <w:rPr>
          <w:rFonts w:ascii="Liberation Serif Regular" w:eastAsia="Liberation Serif Regular" w:hAnsi="Liberation Serif Regular" w:cs="Liberation Serif Regular"/>
          <w:sz w:val="24"/>
        </w:rPr>
        <w:t>Maria, Jose Campos. "Shinto for children in Hayao Miyazaki’s My Neighbour Totoro" libri liberorum, pp. 21-29, 2020.</w:t>
      </w:r>
    </w:p>
    <w:p>
      <w:pPr>
        <w:pBdr/>
        <w:spacing w:line="259" w:lineRule="auto" w:after="160"/>
        <w:ind w:left="0"/>
        <w:jc w:val="both"/>
        <w:rPr>
          <w:strike w:val="false"/>
          <w:u w:val="none"/>
          <w:rFonts w:ascii="Times New Roman" w:eastAsia="Times New Roman" w:hAnsi="Times New Roman" w:cs="Times New Roman"/>
          <w:sz w:val="24"/>
          <w:shd w:fill="FFFFFF" w:val="clear" w:color="auto"/>
        </w:rPr>
      </w:pPr>
    </w:p>
    <w:sectPr>
      <w:headerReference r:id="rId6" w:type="default"/>
      <w:footerReference r:id="rId7" w:type="default"/>
      <w:type w:val="nextPage"/>
      <w:pgSz w:orient="portrait" w:w="11908" w:h="16833"/>
      <w:pgMar w:right="1700" w:top="1984" w:header="720" w:gutter="0" w:bottom="1700" w:footer="720" w:left="1700"/>
      <w:cols w:equalWidth="1" w:space="720" w:num="1"/>
      <w:titlePg w:val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rlito Regular">
    <w:embedRegular r:id="rId28175877-6686-445f-97cf-1aaecefe8b6d" w:fontKey="{00000000-0000-0000-0000-000000000000}" w:subsetted="0"/>
  </w:font>
  <w:font w:name="Liberation Serif Regular">
    <w:embedRegular r:id="rId40df8754-fa15-426c-97b4-a9d31326045f" w:fontKey="{00000000-0000-0000-0000-000000000000}" w:subsetted="0"/>
  </w:font>
</w:fonts>
</file>

<file path=word/footer1.xml><?xml version="1.0" encoding="utf-8"?>
<w:ftr xmlns:w="http://schemas.openxmlformats.org/wordprocessingml/2006/main">
  <w:p>
    <w:pPr>
      <w:pStyle w:val="Footer"/>
    </w:pPr>
  </w:p>
</w:ftr>
</file>

<file path=word/header1.xml><?xml version="1.0" encoding="utf-8"?>
<w:hdr xmlns:w="http://schemas.openxmlformats.org/wordprocessingml/2006/main">
  <w:p>
    <w:pPr>
      <w:pStyle w:val="Header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zoom w:percent="100"/>
  <w:defaultTabStop w:val="708"/>
  <w:evenAndOddHeaders w:val="0"/>
  <w:compat>
    <w:compatSetting w:val="15" w:name="compatibilityMode" w:uri="http://schemas.microsoft.com/office/word"/>
  </w:compat>
  <w:themeFontLang w:val="ru"/>
  <w:clrSchemeMapping w:t1="dark1" w:bg1="light1" w:t2="dark2" w:bg2="light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eastAsia="Calibri" w:hAnsi="Calibri" w:cs="Calibri"/>
        <w:sz w:val="22"/>
      </w:rPr>
    </w:rPrDefault>
    <w:pPrDefault>
      <w:pPr>
        <w:spacing w:line="259" w:lineRule="auto" w:after="160"/>
      </w:pPr>
    </w:pPrDefault>
  </w:docDefaults>
  <w:style w:type="paragraph" w:styleId="Normal" w:default="1">
    <w:name w:val="Normal"/>
    <w:aliases w:val="Normal"/>
    <w:next w:val="Normal"/>
    <w:uiPriority w:val="1"/>
    <w:unhideWhenUsed/>
    <w:qFormat/>
    <w:pPr>
      <w:spacing w:line="259" w:lineRule="auto" w:after="160"/>
    </w:pPr>
    <w:rPr>
      <w:rFonts w:ascii="Calibri" w:eastAsia="Calibri" w:hAnsi="Calibri" w:cs="Calibri"/>
      <w:sz w:val="22"/>
    </w:rPr>
  </w:style>
  <w:style w:type="paragraph" w:styleId="Heading1">
    <w:name w:val="Heading 1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b w:val="true"/>
      <w:color w:themeColor="accent1" w:themeShade="BF" w:val="254771"/>
      <w:sz w:val="36"/>
    </w:rPr>
  </w:style>
  <w:style w:type="paragraph" w:styleId="Heading2">
    <w:name w:val="Heading 2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b w:val="true"/>
      <w:color w:themeColor="accent1" w:val="315F97"/>
      <w:sz w:val="28"/>
    </w:rPr>
  </w:style>
  <w:style w:type="paragraph" w:styleId="Heading3">
    <w:name w:val="Heading 3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b w:val="true"/>
      <w:color w:themeColor="accent1" w:val="315F97"/>
      <w:sz w:val="24"/>
    </w:rPr>
  </w:style>
  <w:style w:type="paragraph" w:styleId="Heading4">
    <w:name w:val="Heading 4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color w:themeColor="accent1" w:val="315F97"/>
      <w:sz w:val="22"/>
      <w:i w:val="true"/>
    </w:rPr>
  </w:style>
  <w:style w:type="paragraph" w:styleId="Heading5">
    <w:name w:val="Heading 5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b w:val="true"/>
      <w:color w:themeColor="accent1" w:val="315F97"/>
      <w:sz w:val="20"/>
    </w:rPr>
  </w:style>
  <w:style w:type="paragraph" w:styleId="Heading6">
    <w:name w:val="Heading 6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color w:themeColor="accent1" w:themeShade="7F" w:val="182F4C"/>
      <w:sz w:val="20"/>
      <w:i w:val="true"/>
    </w:rPr>
  </w:style>
  <w:style w:type="paragraph" w:styleId="Heading7">
    <w:name w:val="Heading 7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color w:themeColor="accent1" w:val="315F97"/>
      <w:sz w:val="22"/>
      <w:i w:val="true"/>
    </w:rPr>
  </w:style>
  <w:style w:type="paragraph" w:styleId="Heading8">
    <w:name w:val="Heading 8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color w:themeColor="accent1" w:val="315F97"/>
      <w:sz w:val="22"/>
      <w:i w:val="true"/>
    </w:rPr>
  </w:style>
  <w:style w:type="paragraph" w:styleId="Heading9">
    <w:name w:val="Heading 9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color w:themeColor="accent1" w:val="315F97"/>
      <w:sz w:val="22"/>
      <w:i w:val="true"/>
    </w:rPr>
  </w:style>
  <w:style w:type="paragraph" w:styleId="Title">
    <w:name w:val="Title"/>
    <w:basedOn w:val="Normal"/>
    <w:next w:val="Normal"/>
    <w:uiPriority w:val="1"/>
    <w:unhideWhenUsed/>
    <w:qFormat/>
    <w:pPr>
      <w:pBdr/>
      <w:jc w:val="center"/>
    </w:pPr>
    <w:rPr>
      <w:rFonts w:asciiTheme="majorHAnsi" w:eastAsiaTheme="majorHAnsi" w:hAnsiTheme="majorHAnsi" w:cstheme="majorHAnsi"/>
      <w:b w:val="true"/>
      <w:color w:themeColor="accent1" w:val="315F97"/>
      <w:sz w:val="24"/>
    </w:rPr>
  </w:style>
  <w:style w:type="paragraph" w:styleId="Subtitle">
    <w:name w:val="Subtitle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color w:themeColor="accent1" w:val="315F97"/>
      <w:sz w:val="22"/>
      <w:i w:val="true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color="000000" w:val="none" w:sz="0" w:space="7"/>
        <w:left w:color="0073B9" w:val="single" w:sz="12" w:space="15"/>
        <w:bottom w:color="000000" w:val="none" w:sz="0" w:space="7"/>
        <w:right w:color="000000" w:val="none" w:sz="0" w:space="7"/>
      </w:pBdr>
      <w:ind w:left="329"/>
    </w:pPr>
    <w:rPr>
      <w:i w:val="true"/>
    </w:rPr>
  </w:style>
  <w:style w:type="paragraph" w:styleId="IntenseQuote">
    <w:name w:val="Intense Quote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color w:themeColor="accent1" w:val="315F97"/>
      <w:sz w:val="22"/>
      <w:i w:val="true"/>
    </w:rPr>
  </w:style>
  <w:style w:type="paragraph" w:styleId="ListParagraph">
    <w:name w:val="List Paragraph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color w:themeColor="accent1" w:val="315F97"/>
      <w:sz w:val="22"/>
      <w:i w:val="true"/>
    </w:rPr>
  </w:style>
  <w:style w:type="paragraph" w:styleId="NoSpacing">
    <w:name w:val="No Spacing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color w:themeColor="accent1" w:val="315F97"/>
      <w:sz w:val="22"/>
      <w:i w:val="true"/>
    </w:rPr>
  </w:style>
  <w:style w:type="character" w:styleId="unnamed1708107939162">
    <w:name w:val="unnamed1708107939162"/>
    <w:uiPriority w:val="1"/>
    <w:unhideWhenUsed/>
    <w:qFormat/>
    <w:rPr/>
  </w:style>
  <w:style w:type="character" w:styleId="SubtleEmphasis">
    <w:name w:val="Subtle Emphasis"/>
    <w:basedOn w:val=""/>
    <w:uiPriority w:val="1"/>
    <w:unhideWhenUsed/>
    <w:qFormat/>
    <w:rPr>
      <w:spacing w:val="10"/>
      <w:b w:val="true"/>
      <w:color w:themeColor="accent1" w:val="315F97"/>
      <w:i w:val="true"/>
    </w:rPr>
  </w:style>
  <w:style w:type="character" w:styleId="Emphasis">
    <w:name w:val="Emphasis"/>
    <w:basedOn w:val=""/>
    <w:uiPriority w:val="1"/>
    <w:unhideWhenUsed/>
    <w:qFormat/>
    <w:rPr>
      <w:spacing w:val="10"/>
      <w:b w:val="true"/>
      <w:color w:themeColor="accent2" w:val="C75252"/>
      <w:i w:val="true"/>
    </w:rPr>
  </w:style>
  <w:style w:type="character" w:styleId="IntenseEmphasis">
    <w:name w:val="Intense Emphasis"/>
    <w:basedOn w:val=""/>
    <w:uiPriority w:val="1"/>
    <w:unhideWhenUsed/>
    <w:qFormat/>
    <w:rPr>
      <w:spacing w:val="10"/>
      <w:b w:val="true"/>
      <w:color w:themeColor="accent3" w:val="E9AE2B"/>
      <w:i w:val="true"/>
    </w:rPr>
  </w:style>
  <w:style w:type="character" w:styleId="DefaultParagraphFont" w:default="1">
    <w:name w:val="Default Paragraph Font"/>
    <w:aliases w:val="Default Paragraph Font"/>
    <w:uiPriority w:val="1"/>
    <w:unhideWhenUsed/>
    <w:qFormat/>
    <w:rPr/>
  </w:style>
  <w:style w:type="character" w:styleId="Strong">
    <w:name w:val="Strong"/>
    <w:basedOn w:val=""/>
    <w:uiPriority w:val="1"/>
    <w:unhideWhenUsed/>
    <w:qFormat/>
    <w:rPr>
      <w:spacing w:val="10"/>
      <w:b w:val="true"/>
      <w:color w:themeColor="accent4" w:val="699B37"/>
      <w:i w:val="true"/>
    </w:rPr>
  </w:style>
  <w:style w:type="character" w:styleId="SubtleReference">
    <w:name w:val="Subtle Reference"/>
    <w:basedOn w:val=""/>
    <w:uiPriority w:val="1"/>
    <w:unhideWhenUsed/>
    <w:qFormat/>
    <w:rPr>
      <w:spacing w:val="10"/>
      <w:b w:val="true"/>
      <w:color w:themeColor="accent5" w:val="358791"/>
      <w:i w:val="true"/>
    </w:rPr>
  </w:style>
  <w:style w:type="character" w:styleId="IntenseReference">
    <w:name w:val="Intense Reference"/>
    <w:basedOn w:val=""/>
    <w:uiPriority w:val="1"/>
    <w:unhideWhenUsed/>
    <w:qFormat/>
    <w:rPr>
      <w:spacing w:val="10"/>
      <w:b w:val="true"/>
      <w:color w:themeColor="accent6" w:val="CA56A7"/>
      <w:i w:val="true"/>
    </w:rPr>
  </w:style>
  <w:style w:type="character" w:styleId="BookTitle">
    <w:name w:val="Book Title"/>
    <w:basedOn w:val=""/>
    <w:uiPriority w:val="1"/>
    <w:unhideWhenUsed/>
    <w:qFormat/>
    <w:rPr>
      <w:spacing w:val="10"/>
      <w:b w:val="true"/>
      <w:color w:themeColor="accent2" w:val="C75252"/>
      <w:i w:val="true"/>
    </w:rPr>
  </w:style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theme/theme1.xml" Type="http://schemas.openxmlformats.org/officeDocument/2006/relationships/theme"/><Relationship Id="rId3" Target="fontTable.xml" Type="http://schemas.openxmlformats.org/officeDocument/2006/relationships/fontTable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header1.xml" Type="http://schemas.openxmlformats.org/officeDocument/2006/relationships/header"/><Relationship Id="rId7" Target="footer1.xml" Type="http://schemas.openxmlformats.org/officeDocument/2006/relationships/footer"/></Relationships>
</file>

<file path=word/_rels/fontTable.xml.rels><?xml version="1.0" encoding="UTF-8" standalone="no"?><Relationships xmlns="http://schemas.openxmlformats.org/package/2006/relationships"><Relationship Id="rId28175877-6686-445f-97cf-1aaecefe8b6d" Target="fonts/carlitoregular.ttf" Type="http://schemas.openxmlformats.org/officeDocument/2006/relationships/font"/><Relationship Id="rId40df8754-fa15-426c-97b4-a9d31326045f" Target="fonts/liberationserifregular.ttf" Type="http://schemas.openxmlformats.org/officeDocument/2006/relationships/font"/></Relationships>
</file>

<file path=word/theme/theme1.xml><?xml version="1.0" encoding="utf-8"?>
<a:theme xmlns:a="http://schemas.openxmlformats.org/drawingml/2006/main" name="1708107939156">
  <a:themeElements>
    <a:clrScheme name="Default">
      <a:dk1>
        <a:srgbClr val="000000"/>
      </a:dk1>
      <a:lt1>
        <a:srgbClr val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false"/>
        </a:gradFill>
        <a:gradFill rotWithShape="fals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fals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fals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2024-02-16T18:25:39Z</dcterms:created>
  <dc:creator>vetus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ZWConversion">
    <vt:lpwstr>1</vt:lpwstr>
  </property>
</Properties>
</file>