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82F4" w14:textId="2D103EE1" w:rsidR="001C71FE" w:rsidRPr="00CC213F" w:rsidRDefault="00CC213F" w:rsidP="00715517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Именные причинные конструкции в эрзянском языке</w:t>
      </w:r>
    </w:p>
    <w:p w14:paraId="5C92CA05" w14:textId="77777777" w:rsidR="001C71FE" w:rsidRPr="00CC213F" w:rsidRDefault="001C71FE" w:rsidP="0071551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213F">
        <w:rPr>
          <w:rFonts w:ascii="Times New Roman" w:eastAsia="Times New Roman" w:hAnsi="Times New Roman" w:cs="Times New Roman"/>
          <w:b/>
          <w:i/>
          <w:sz w:val="24"/>
          <w:szCs w:val="24"/>
        </w:rPr>
        <w:t>Шумилова Софья Алексеевна</w:t>
      </w:r>
    </w:p>
    <w:p w14:paraId="065D0AA5" w14:textId="77777777" w:rsidR="001C71FE" w:rsidRPr="00AA469C" w:rsidRDefault="001C71FE" w:rsidP="00715517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</w:rPr>
        <w:t>Студент</w:t>
      </w:r>
    </w:p>
    <w:p w14:paraId="3A6E13D7" w14:textId="4B65D944" w:rsidR="001C71FE" w:rsidRPr="00AA469C" w:rsidRDefault="001C71FE" w:rsidP="00715517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</w:rPr>
        <w:t>Национальный исследовательский университет «Высшая школа экономики»</w:t>
      </w:r>
      <w:r w:rsidR="00CC213F" w:rsidRPr="00AA469C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– Санкт-Петербург</w:t>
      </w:r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CC213F" w:rsidRPr="00AA469C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филологический факультет, </w:t>
      </w:r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</w:rPr>
        <w:t>Санкт-Петербург, Россия</w:t>
      </w:r>
    </w:p>
    <w:p w14:paraId="32690ABE" w14:textId="5E8EF309" w:rsidR="001C71FE" w:rsidRPr="00AA469C" w:rsidRDefault="00CC213F" w:rsidP="00715517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de-DE"/>
        </w:rPr>
      </w:pPr>
      <w:proofErr w:type="spellStart"/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  <w:lang w:val="de-DE"/>
        </w:rPr>
        <w:t>E-mail</w:t>
      </w:r>
      <w:proofErr w:type="spellEnd"/>
      <w:r w:rsidRPr="00AA469C">
        <w:rPr>
          <w:rFonts w:ascii="Times New Roman" w:eastAsia="Times New Roman" w:hAnsi="Times New Roman" w:cs="Times New Roman"/>
          <w:bCs/>
          <w:i/>
          <w:sz w:val="24"/>
          <w:szCs w:val="24"/>
          <w:lang w:val="de-DE"/>
        </w:rPr>
        <w:t xml:space="preserve">: </w:t>
      </w:r>
      <w:r w:rsidR="00000000">
        <w:fldChar w:fldCharType="begin"/>
      </w:r>
      <w:r w:rsidR="00000000" w:rsidRPr="001826F5">
        <w:rPr>
          <w:lang w:val="de-DE"/>
        </w:rPr>
        <w:instrText>HYPERLINK "mailto:shumilova.sophia@gmail.com"</w:instrText>
      </w:r>
      <w:r w:rsidR="00000000">
        <w:fldChar w:fldCharType="separate"/>
      </w:r>
      <w:r w:rsidRPr="00AA469C">
        <w:rPr>
          <w:rStyle w:val="a9"/>
          <w:rFonts w:ascii="Times New Roman" w:eastAsia="Times New Roman" w:hAnsi="Times New Roman" w:cs="Times New Roman"/>
          <w:bCs/>
          <w:i/>
          <w:sz w:val="24"/>
          <w:szCs w:val="24"/>
          <w:lang w:val="de-DE"/>
        </w:rPr>
        <w:t>shumilova.sophia@gmail.com</w:t>
      </w:r>
      <w:r w:rsidR="00000000">
        <w:rPr>
          <w:rStyle w:val="a9"/>
          <w:rFonts w:ascii="Times New Roman" w:eastAsia="Times New Roman" w:hAnsi="Times New Roman" w:cs="Times New Roman"/>
          <w:bCs/>
          <w:i/>
          <w:sz w:val="24"/>
          <w:szCs w:val="24"/>
          <w:lang w:val="de-DE"/>
        </w:rPr>
        <w:fldChar w:fldCharType="end"/>
      </w:r>
    </w:p>
    <w:p w14:paraId="00000002" w14:textId="5B44CE43" w:rsidR="00FF50C7" w:rsidRPr="006565EB" w:rsidRDefault="00000000" w:rsidP="00715517">
      <w:pPr>
        <w:spacing w:before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Доклад посвящен показателям, маркирующим причинные отношения в именных конструкциях в эрзя-мордовском языке. Исследование проводится в рамках коллективного проекта «Причинные конструкции в языках мира: семантика и типология» на основе исследовательской анкеты С. С. Сая [</w:t>
      </w:r>
      <w:r w:rsidR="00CC213F" w:rsidRPr="00CC213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]. В исследовании используются данные, полученные от носителей эрзянского языка.</w:t>
      </w:r>
    </w:p>
    <w:p w14:paraId="00000003" w14:textId="77777777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В эрзянском языке для выражения причинной семантики в именных конструкциях используются падежи и послелоги.</w:t>
      </w:r>
    </w:p>
    <w:p w14:paraId="00000004" w14:textId="77777777" w:rsidR="00FF50C7" w:rsidRPr="006565EB" w:rsidRDefault="00000000" w:rsidP="00715517">
      <w:pPr>
        <w:spacing w:before="200" w:after="20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>1. Падежное маркирование причинных отношений</w:t>
      </w:r>
    </w:p>
    <w:p w14:paraId="00000005" w14:textId="3935CD92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Значение причины выражают аблатив, элатив,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инессив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и датив. Самый частотный падежный показатель причинности — аблатив. Эт</w:t>
      </w:r>
      <w:r w:rsidR="001D31F6" w:rsidRPr="006565E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1D31F6" w:rsidRPr="006565EB">
        <w:rPr>
          <w:rFonts w:ascii="Times New Roman" w:eastAsia="Times New Roman" w:hAnsi="Times New Roman" w:cs="Times New Roman"/>
          <w:sz w:val="24"/>
          <w:szCs w:val="24"/>
          <w:lang w:val="ru-RU"/>
        </w:rPr>
        <w:t>у можно считать универсальным маркером причинности в эрзянском языке, она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F6" w:rsidRPr="006565EB">
        <w:rPr>
          <w:rFonts w:ascii="Times New Roman" w:eastAsia="Times New Roman" w:hAnsi="Times New Roman" w:cs="Times New Roman"/>
          <w:sz w:val="24"/>
          <w:szCs w:val="24"/>
          <w:lang w:val="ru-RU"/>
        </w:rPr>
        <w:t>допустима в большинстве контекстов: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на внутреннюю и внешнюю причину (ср.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радува-мо-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дость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радость-NMLZ-ABL.DEF ‘от радости’ и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качамо-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дость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дым-ABL.DEF ‘от дыма’)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1D31F6" w:rsidRPr="0065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контекстах, описывающих как благоприятные, так и неблагоприятные последствия действия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ср. </w:t>
      </w:r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рака-зев-</w:t>
      </w:r>
      <w:proofErr w:type="spellStart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сь</w:t>
      </w:r>
      <w:proofErr w:type="spellEnd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радума-мо-</w:t>
      </w:r>
      <w:r w:rsidR="00274A90" w:rsidRPr="00274A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дость</w:t>
      </w:r>
      <w:proofErr w:type="spellEnd"/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смеяться-INCH-PST.3SG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радоваться-NMLZ-ABL.DEF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рассмеялся от радости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авард</w:t>
      </w:r>
      <w:proofErr w:type="spellEnd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-и </w:t>
      </w:r>
      <w:proofErr w:type="spellStart"/>
      <w:r w:rsidR="00274A90" w:rsidRPr="00274A9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тандав-мо-</w:t>
      </w:r>
      <w:r w:rsidR="00274A90" w:rsidRPr="00274A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дость</w:t>
      </w:r>
      <w:proofErr w:type="spellEnd"/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плакать-PRS.3SG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испугаться-NMLZ-ABL.DEF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‘</w:t>
      </w:r>
      <w:r w:rsid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заплакал от страха</w:t>
      </w:r>
      <w:r w:rsidR="00274A90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’)</w:t>
      </w:r>
      <w:r w:rsidR="001D31F6" w:rsidRPr="00656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8" w14:textId="0133591E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Маркирование причинных отношений элативом в анкетах носителей встречается единожды (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вачо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сто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голодный-EL ‘от голода’), хотя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причинныи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>̆ элатив наравне с причинным аблативом довольно типичное явление для финно-угорских языков, ср. [</w:t>
      </w:r>
      <w:r w:rsidR="00AA469C" w:rsidRPr="00274A90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]. Использование же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инессива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и датива обусловлено особенностями управления вершины –– форма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инессива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появляется под управлением вершины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мельспаро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‘радость’, а датива –– под управлением глагола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радувамс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‘радоваться’, ср. примеры (</w:t>
      </w:r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)–(</w:t>
      </w:r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50FC" w:rsidRPr="006565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. В иных случаях причинное значение для этих падежей нетипично. </w:t>
      </w:r>
    </w:p>
    <w:p w14:paraId="00000009" w14:textId="4456211D" w:rsidR="00FF50C7" w:rsidRPr="002B50FC" w:rsidRDefault="00000000" w:rsidP="00715517">
      <w:pPr>
        <w:spacing w:before="20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C61B9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46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Тейтерька-сь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ашт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-и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мельспаро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B50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A469C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эсь</w:t>
      </w:r>
      <w:proofErr w:type="spellEnd"/>
      <w:r w:rsidR="002B50FC" w:rsidRPr="002B50F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14:paraId="0000000A" w14:textId="77777777" w:rsidR="00FF50C7" w:rsidRPr="006565EB" w:rsidRDefault="00000000" w:rsidP="007155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девочка-NOM.DEF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 xml:space="preserve">быть-PRS.3SG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 xml:space="preserve">радость-INESS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свой</w:t>
      </w:r>
    </w:p>
    <w:p w14:paraId="0000000B" w14:textId="716E852D" w:rsidR="00FF50C7" w:rsidRPr="006565EB" w:rsidRDefault="00000000" w:rsidP="00715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содамочи-нь</w:t>
      </w:r>
      <w:proofErr w:type="spellEnd"/>
      <w:r w:rsidR="002B50FC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питне-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сэ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-нзэ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знание-GEN </w:t>
      </w:r>
      <w:r w:rsidR="002B50FC">
        <w:rPr>
          <w:rFonts w:ascii="Times New Roman" w:eastAsia="Times New Roman" w:hAnsi="Times New Roman" w:cs="Times New Roman"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оценка-INESS-3SG.POSS.3SG</w:t>
      </w:r>
    </w:p>
    <w:p w14:paraId="0000000C" w14:textId="4710FEC9" w:rsidR="00FF50C7" w:rsidRPr="006565EB" w:rsidRDefault="00000000" w:rsidP="00715517">
      <w:pPr>
        <w:spacing w:before="120"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‘Девочка довольна </w:t>
      </w:r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оценкой</w:t>
      </w:r>
      <w:r w:rsidR="002B50FC" w:rsidRPr="006565EB">
        <w:rPr>
          <w:rFonts w:ascii="Times New Roman" w:eastAsia="Times New Roman" w:hAnsi="Times New Roman" w:cs="Times New Roman"/>
          <w:sz w:val="24"/>
          <w:szCs w:val="24"/>
        </w:rPr>
        <w:t>.’</w:t>
      </w:r>
      <w:proofErr w:type="gram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17581ABC" w:rsidR="00FF50C7" w:rsidRPr="006565EB" w:rsidRDefault="00000000" w:rsidP="0071551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C61B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469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Церыне-сь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пек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радува-сь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те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тев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стень </w:t>
      </w:r>
    </w:p>
    <w:p w14:paraId="0000000E" w14:textId="77777777" w:rsidR="00FF50C7" w:rsidRPr="006565EB" w:rsidRDefault="00000000" w:rsidP="007155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мальчик-NOM.DEF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очень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 xml:space="preserve">радоваться-PST.3SG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 xml:space="preserve">этот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дело-DAT.DEF</w:t>
      </w:r>
    </w:p>
    <w:p w14:paraId="0000000F" w14:textId="7F341F75" w:rsidR="00FF50C7" w:rsidRPr="006565EB" w:rsidRDefault="00000000" w:rsidP="005E273D">
      <w:pPr>
        <w:spacing w:before="120" w:after="24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‘Мальчик в восторге от </w:t>
      </w:r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этой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50FC">
        <w:rPr>
          <w:rFonts w:ascii="Times New Roman" w:eastAsia="Times New Roman" w:hAnsi="Times New Roman" w:cs="Times New Roman"/>
          <w:sz w:val="24"/>
          <w:szCs w:val="24"/>
          <w:lang w:val="ru-RU"/>
        </w:rPr>
        <w:t>идеи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.’</w:t>
      </w:r>
      <w:proofErr w:type="gramEnd"/>
    </w:p>
    <w:p w14:paraId="00000010" w14:textId="77777777" w:rsidR="00FF50C7" w:rsidRPr="006565EB" w:rsidRDefault="00000000" w:rsidP="00715517">
      <w:pPr>
        <w:spacing w:before="200" w:after="20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>Послеложно</w:t>
      </w:r>
      <w:proofErr w:type="spellEnd"/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>-падежное маркирование причинных отношений</w:t>
      </w:r>
    </w:p>
    <w:p w14:paraId="00000011" w14:textId="57672BFC" w:rsidR="00FF50C7" w:rsidRPr="006565EB" w:rsidRDefault="002B50FC" w:rsidP="00715517">
      <w:pPr>
        <w:spacing w:before="20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Послелоги в эрзянском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полисемичны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Так, с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емантику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причинности могут нести послелоги разных типов: послелоги места (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лангс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ланга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лагсо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>), времени (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мейле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), совместного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действия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маро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). При этом их выбор в основном обусловлен именно семантикой контекста –– например, послелог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лангс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‘на (куда)’, являющийся застывшей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формой существительного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ланга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‘поверхность’ в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иллативе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>, зачастую употребляется при вершинах с семантикой направленного действия, ср. пример (</w:t>
      </w:r>
      <w:r w:rsidR="00BC61B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2" w14:textId="473870DB" w:rsidR="00FF50C7" w:rsidRPr="006565EB" w:rsidRDefault="00000000" w:rsidP="005E273D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C61B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27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Вачта-зь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пузырь-ка-</w:t>
      </w:r>
      <w:proofErr w:type="spellStart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тне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лангс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ведь-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3" w14:textId="4AFABA40" w:rsidR="00FF50C7" w:rsidRPr="006565EB" w:rsidRDefault="00000000" w:rsidP="005E273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взглянуть-PTCP.PST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пузырь-DIM-GEN.PL.DEF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вода-NOM.DEF</w:t>
      </w:r>
    </w:p>
    <w:p w14:paraId="00000014" w14:textId="54C0A91B" w:rsidR="00FF50C7" w:rsidRPr="006565EB" w:rsidRDefault="00000000" w:rsidP="00715517">
      <w:pPr>
        <w:keepNext/>
        <w:spacing w:line="240" w:lineRule="auto"/>
        <w:ind w:firstLine="39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уже</w:t>
      </w:r>
      <w:r w:rsidR="005E27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лакав-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proofErr w:type="spellEnd"/>
    </w:p>
    <w:p w14:paraId="65AE5E9D" w14:textId="77777777" w:rsidR="005E273D" w:rsidRDefault="00000000" w:rsidP="005E273D">
      <w:pPr>
        <w:spacing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5E273D">
        <w:rPr>
          <w:rFonts w:ascii="Times New Roman" w:eastAsia="Times New Roman" w:hAnsi="Times New Roman" w:cs="Times New Roman"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кипеть-PST.3SG</w:t>
      </w:r>
    </w:p>
    <w:p w14:paraId="00000015" w14:textId="6FAD47F4" w:rsidR="00FF50C7" w:rsidRPr="006565EB" w:rsidRDefault="00000000" w:rsidP="005E273D">
      <w:pPr>
        <w:spacing w:before="12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‘Судя по пузырькам, вода уже </w:t>
      </w:r>
      <w:proofErr w:type="gramStart"/>
      <w:r w:rsidRPr="006565EB">
        <w:rPr>
          <w:rFonts w:ascii="Times New Roman" w:eastAsia="Times New Roman" w:hAnsi="Times New Roman" w:cs="Times New Roman"/>
          <w:sz w:val="24"/>
          <w:szCs w:val="24"/>
        </w:rPr>
        <w:t>закипела.’</w:t>
      </w:r>
      <w:proofErr w:type="gramEnd"/>
    </w:p>
    <w:p w14:paraId="00000016" w14:textId="77777777" w:rsidR="00FF50C7" w:rsidRPr="006565EB" w:rsidRDefault="00000000" w:rsidP="00715517">
      <w:pPr>
        <w:spacing w:before="20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Среди специализированных причинных послелогов можно выделить следующие: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кисэ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(‘из-за’)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кувалма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>(‘из-за’)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эйстэ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(‘от’). В некоторых контекстах послелоги синонимичны и могут варьироваться, не влияя при этом ни на смысл, ни на точность перевода. Однако в некоторых случаях замена одного послелога другим хоть и допустима, но нежелательна, поскольку может повлиять на прагматику предложения. </w:t>
      </w:r>
    </w:p>
    <w:p w14:paraId="00000017" w14:textId="77777777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В некоторых случаях падежные и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послеложно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-падежные конструкции взаимозаменяемы. Так, например, носитель признает грамматически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приемлемои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̆ замену конструкции «генитив + 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кисэ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» ‘генитив +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из-за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’ на именную группу в форме аблатива (смысл высказывания от этого не меняется), но в качестве более естественного варианта предлагает послеложную группу, ср. пример (4). </w:t>
      </w:r>
    </w:p>
    <w:p w14:paraId="00000018" w14:textId="7C3E47E8" w:rsidR="00FF50C7" w:rsidRPr="006565EB" w:rsidRDefault="00000000" w:rsidP="00715517">
      <w:pPr>
        <w:spacing w:before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715517">
        <w:rPr>
          <w:rFonts w:ascii="Times New Roman" w:eastAsia="Times New Roman" w:hAnsi="Times New Roman" w:cs="Times New Roman"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Ава-</w:t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ма-ць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удо-мо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орчазь</w:t>
      </w:r>
      <w:proofErr w:type="spellEnd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9" w14:textId="0FBA9E36" w:rsidR="00FF50C7" w:rsidRPr="006565EB" w:rsidRDefault="00000000" w:rsidP="007155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женщина-NOM.DEF лечь-PST.3SG спать-INF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одетыи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</w:p>
    <w:p w14:paraId="0000001A" w14:textId="77777777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якшамо-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сть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кисэ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565EB">
        <w:rPr>
          <w:rFonts w:ascii="Times New Roman" w:eastAsia="Times New Roman" w:hAnsi="Times New Roman" w:cs="Times New Roman"/>
          <w:i/>
          <w:sz w:val="24"/>
          <w:szCs w:val="24"/>
        </w:rPr>
        <w:t>якшамо-</w:t>
      </w:r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>дость</w:t>
      </w:r>
      <w:proofErr w:type="spellEnd"/>
      <w:r w:rsidRPr="006565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1B" w14:textId="055445C7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>холод-GEN.DEF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  <w:t>из-за /</w:t>
      </w:r>
      <w:r w:rsidRPr="006565EB">
        <w:rPr>
          <w:rFonts w:ascii="Times New Roman" w:eastAsia="Times New Roman" w:hAnsi="Times New Roman" w:cs="Times New Roman"/>
          <w:sz w:val="24"/>
          <w:szCs w:val="24"/>
        </w:rPr>
        <w:tab/>
      </w:r>
      <w:r w:rsidR="00715517">
        <w:rPr>
          <w:rFonts w:ascii="Times New Roman" w:eastAsia="Times New Roman" w:hAnsi="Times New Roman" w:cs="Times New Roman"/>
          <w:sz w:val="24"/>
          <w:szCs w:val="24"/>
        </w:rPr>
        <w:tab/>
      </w: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холод-ABL.DEF </w:t>
      </w:r>
    </w:p>
    <w:p w14:paraId="0000001C" w14:textId="77777777" w:rsidR="00FF50C7" w:rsidRPr="006565EB" w:rsidRDefault="00000000" w:rsidP="00715517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‘Женщина легла спать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одетои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̆ из-за </w:t>
      </w:r>
      <w:proofErr w:type="gramStart"/>
      <w:r w:rsidRPr="006565EB">
        <w:rPr>
          <w:rFonts w:ascii="Times New Roman" w:eastAsia="Times New Roman" w:hAnsi="Times New Roman" w:cs="Times New Roman"/>
          <w:sz w:val="24"/>
          <w:szCs w:val="24"/>
        </w:rPr>
        <w:t>холода.’</w:t>
      </w:r>
      <w:proofErr w:type="gram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D" w14:textId="77777777" w:rsidR="00FF50C7" w:rsidRPr="006565EB" w:rsidRDefault="00000000" w:rsidP="00715517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>Список условных сокращений</w:t>
      </w:r>
    </w:p>
    <w:p w14:paraId="0000001E" w14:textId="77777777" w:rsidR="00FF50C7" w:rsidRPr="006565EB" w:rsidRDefault="00000000" w:rsidP="007155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3 –– 3-е лицо; ABL –– аблатив; DAT –– датив; DEF –– определенность; DIM –– диминутив; EL –– элатив; GEN –– генитив; INESS ––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инессив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; INF –– инфинитив; NMLZ –– номинализация; NOM –– номинатив; PL –– множественное число; POSS ––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</w:rPr>
        <w:t>посессивный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</w:rPr>
        <w:t xml:space="preserve"> показатель; PRS –– настоящее время; PST –– прошедшее время; PTCP –– причастие; SG –– единственное число</w:t>
      </w:r>
    </w:p>
    <w:p w14:paraId="0000001F" w14:textId="77777777" w:rsidR="00FF50C7" w:rsidRPr="006565EB" w:rsidRDefault="00000000" w:rsidP="00715517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5EB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28BFA1E3" w14:textId="5AB243ED" w:rsidR="00CC213F" w:rsidRDefault="00CC213F" w:rsidP="007155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CC213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1. </w:t>
      </w:r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Давидюк Т. И. Маркеры причинных отношений в финно-угорских языках // Предложение как единица языка и речи. /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>Тюнтешева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 В. (отв. ред.). Новосибирск: </w:t>
      </w:r>
      <w:proofErr w:type="spellStart"/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>Академиздат</w:t>
      </w:r>
      <w:proofErr w:type="spellEnd"/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>, 2019. С. 79-81.</w:t>
      </w:r>
      <w:r w:rsidRPr="00CC213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67ACC98C" w14:textId="03E4B95D" w:rsidR="00CC213F" w:rsidRPr="006565EB" w:rsidRDefault="00CC213F" w:rsidP="007155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C213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2. </w:t>
      </w:r>
      <w:r w:rsidRPr="006565EB">
        <w:rPr>
          <w:rFonts w:ascii="Times New Roman" w:eastAsia="Times New Roman" w:hAnsi="Times New Roman" w:cs="Times New Roman"/>
          <w:sz w:val="24"/>
          <w:szCs w:val="24"/>
          <w:highlight w:val="white"/>
        </w:rPr>
        <w:t>С. С. Сай. Именные причинные конструкции: параметры типологической вариативности и исследовательская анкета // Типология причинных конструкций. Заика Н. М. (ред.). СПб.: ИЛИ РАН, в печати.</w:t>
      </w:r>
    </w:p>
    <w:p w14:paraId="00000021" w14:textId="6ABCDECB" w:rsidR="00FF50C7" w:rsidRPr="006565EB" w:rsidRDefault="00FF50C7" w:rsidP="0071551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50C7" w:rsidRPr="006565EB" w:rsidSect="0019787C">
      <w:headerReference w:type="default" r:id="rId6"/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7647" w14:textId="77777777" w:rsidR="0019787C" w:rsidRDefault="0019787C">
      <w:pPr>
        <w:spacing w:line="240" w:lineRule="auto"/>
      </w:pPr>
      <w:r>
        <w:separator/>
      </w:r>
    </w:p>
  </w:endnote>
  <w:endnote w:type="continuationSeparator" w:id="0">
    <w:p w14:paraId="5FD59139" w14:textId="77777777" w:rsidR="0019787C" w:rsidRDefault="0019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2CD6" w14:textId="77777777" w:rsidR="0019787C" w:rsidRDefault="0019787C">
      <w:pPr>
        <w:spacing w:line="240" w:lineRule="auto"/>
      </w:pPr>
      <w:r>
        <w:separator/>
      </w:r>
    </w:p>
  </w:footnote>
  <w:footnote w:type="continuationSeparator" w:id="0">
    <w:p w14:paraId="03C57AA3" w14:textId="77777777" w:rsidR="0019787C" w:rsidRDefault="0019787C">
      <w:pPr>
        <w:spacing w:line="240" w:lineRule="auto"/>
      </w:pPr>
      <w:r>
        <w:continuationSeparator/>
      </w:r>
    </w:p>
  </w:footnote>
  <w:footnote w:id="1">
    <w:p w14:paraId="496A98D5" w14:textId="77777777" w:rsidR="002B50FC" w:rsidRPr="002B50FC" w:rsidRDefault="002B50FC" w:rsidP="002B50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0FC">
        <w:rPr>
          <w:rFonts w:ascii="Times New Roman" w:hAnsi="Times New Roman" w:cs="Times New Roman"/>
          <w:vertAlign w:val="superscript"/>
        </w:rPr>
        <w:footnoteRef/>
      </w:r>
      <w:r w:rsidRPr="002B50FC">
        <w:rPr>
          <w:rFonts w:ascii="Times New Roman" w:eastAsia="Times New Roman" w:hAnsi="Times New Roman" w:cs="Times New Roman"/>
        </w:rPr>
        <w:t xml:space="preserve"> Все используемые примеры получены от носителей эрзянского языка в письменном виде. Во всех примерах причинные показатели выделены жирным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F50C7" w:rsidRDefault="00FF5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C7"/>
    <w:rsid w:val="00031215"/>
    <w:rsid w:val="001826F5"/>
    <w:rsid w:val="0019787C"/>
    <w:rsid w:val="001C71FE"/>
    <w:rsid w:val="001D31F6"/>
    <w:rsid w:val="00274A90"/>
    <w:rsid w:val="002B50FC"/>
    <w:rsid w:val="003C1B5F"/>
    <w:rsid w:val="005E273D"/>
    <w:rsid w:val="006565EB"/>
    <w:rsid w:val="00715517"/>
    <w:rsid w:val="00AA469C"/>
    <w:rsid w:val="00BC61B9"/>
    <w:rsid w:val="00CC213F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D1A0"/>
  <w15:docId w15:val="{B2AD93B4-E479-F04E-9324-95322A0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D31F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B50FC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B50F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B50FC"/>
    <w:rPr>
      <w:vertAlign w:val="superscript"/>
    </w:rPr>
  </w:style>
  <w:style w:type="character" w:styleId="a9">
    <w:name w:val="Hyperlink"/>
    <w:basedOn w:val="a0"/>
    <w:uiPriority w:val="99"/>
    <w:unhideWhenUsed/>
    <w:rsid w:val="001C71F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C71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C21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Лада Лисовая</cp:lastModifiedBy>
  <cp:revision>4</cp:revision>
  <dcterms:created xsi:type="dcterms:W3CDTF">2024-02-13T13:18:00Z</dcterms:created>
  <dcterms:modified xsi:type="dcterms:W3CDTF">2024-02-13T13:24:00Z</dcterms:modified>
</cp:coreProperties>
</file>