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Перевод антропонимов из Корана на русский язык: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  <w:t xml:space="preserve">трудности и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способы передачи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Аушева Хава Увайсовна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Аспирант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Высшая школа перевода (факультет), Москва, Россия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  <w:t>h_au@bk.ru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Процесс перевода Корана, как и любого другого сакрального текста, подразумевает множество трудностей для переводчика. Текст священного писания содержит в себе ряд специфических национальных реалий, включая имена собственные. Несмотря на внешнюю простоту, их перевод нередко заставляет переводчиков задуматься над тем, какой выбрать эквивалент для их передачи на языке перевода [2]. Перед переводчиком возникает задача: следовать сложившейся традиции перевода, так как имена из Корана уже были упомянуты в Ветхом Завете и Библии, или же сохранить их форму на языке оригинала, используя транслитерацию и транскрипцию. В.С. Виноградов пишет, что транскрибированные имена являются немногими элементами перевода, которые сохраняют национальное своеобразие в своей словесной языковой форме [1]. 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Говоря о переводе Корана, стоит обратить внимание на то, что большинство имен уже были упомянуты в Библии, следовательно, они не относятся к категории безэквивалентной лексики, а также на то, что имя собственное несет ярко выраженную культурную специфику, которую можно утратить, и в некоторых случаях это происходит намеренно. Антропонимы священного писания мусульман совпадают с библейскими, так как в авраамических религиях присутствуют повторяющиеся сюжеты и персонажи. Имена собственные обладают сложной смысловой структурой и уникальными особенностями формы и незнание или игнорирование этих форм может затруднить идентификацию носителя имени [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]. Имена пророков упоминаются во многих сурах Корана (Корова, Семейство Имрана и др.) и незнание их истории может вызвать трудности понимания для читателя. Например, и в Коране, и в Библии встречается сюжет о первых людях Адаме и Хавве (библейская версия Адам и Ева) и истории их изгнания из рая. В Коране, как и в Библии повествуется история потопа и спасения пророка Нуха (библейская версия Ной) и его близких.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color w:val="252525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white"/>
        </w:rPr>
        <w:t xml:space="preserve">В переводах используется несколько вариантов передачи антропонимов: использование уже устоявшейся библейской формы (перевод </w:t>
      </w:r>
      <w:r>
        <w:rPr>
          <w:rFonts w:ascii="Times New Roman" w:hAnsi="Times New Roman" w:eastAsia="Times New Roman" w:cs="Times New Roman"/>
          <w:sz w:val="24"/>
          <w:szCs w:val="24"/>
        </w:rPr>
        <w:t>Г.С. Саблукова</w:t>
      </w: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202122"/>
          <w:sz w:val="24"/>
          <w:szCs w:val="24"/>
          <w:highlight w:val="white"/>
        </w:rPr>
        <w:t>Д.Н. Богуславского</w:t>
      </w: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white"/>
        </w:rPr>
        <w:t xml:space="preserve">) транслитерация с арабского языка (перевод И.Ю. Крачковского, </w:t>
      </w:r>
      <w:r>
        <w:rPr>
          <w:rFonts w:ascii="Times New Roman" w:hAnsi="Times New Roman" w:eastAsia="Times New Roman" w:cs="Times New Roman"/>
          <w:color w:val="003333"/>
          <w:sz w:val="24"/>
          <w:szCs w:val="24"/>
          <w:highlight w:val="white"/>
        </w:rPr>
        <w:t xml:space="preserve">В.М. Пороховой и </w:t>
      </w: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white"/>
        </w:rPr>
        <w:t xml:space="preserve">М.О. Османова) и оба варианта сразу (перевод Э.Р Кулиева). Введение двух форм имени позволяет легче воспринимать текст не только людям, исповедующим ислам, но и представителям других конфессий. Если оставить в тексте форму, приближенную языку оригинала, велик риск того, что читатель может не понять, что речь идет об одних персонажах, при этом использование лишь библейской версии стирает национальный окрас текста. 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Таким образом для переводчиков Корана уже есть устоявшаяся форма перевода, помимо таких приемов, как транслитерация и транскрипция. Для переводчика не будет ошибкой пойти данным путем, но текст Корана несет специфику определенной культуры, эпохи и традиций, а пророки и посланники играют важную роль в жизни мусульман. Поэтому в интересах передачи национального колорита нельзя пренебрегать ни малейшей возможностью сохранения максимально близкого к оригинальному звучанию имен собственных в любом языке, куда бы они ни попали [2].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Имена собственные содержат информацию о локальной и национальной принадлежности обозначаемого им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объекта, и транскрибирова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нны</w:t>
      </w:r>
      <w:r>
        <w:rPr>
          <w:rFonts w:ascii="Times New Roman" w:hAnsi="Times New Roman" w:eastAsia="Times New Roman" w:cs="Times New Roman"/>
          <w:sz w:val="24"/>
          <w:szCs w:val="24"/>
        </w:rPr>
        <w:t>е имен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собственны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наряду с остальными реалиями явля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eastAsia="Times New Roman" w:cs="Times New Roman"/>
          <w:sz w:val="24"/>
          <w:szCs w:val="24"/>
        </w:rPr>
        <w:t>тся немногими элементами перевода, которые сохраняют определенное национальное своеобразие в своей словесной звуковой форме. [1] Чтобы позволить читателю познакомиться с текстом незнакомого для него Священного Писания возможны два варианта: сделать текст наиболее понятным для него, либо дать возможность познакомиться с новой культурой. Если речь идет о людях, исповедующих данную религию, очевидно, что перевод на уровне фонем, где сохраняется форма языка оригинала и национальный окрас, будет более предпочтительной. Как уже было упомянуто выше, в сакральных текстах встречается большое количество единиц, выражающих культурную специфику, следовательно существует риск утратить национальный культурный колорит текста оригинала.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Литература</w:t>
      </w:r>
      <w:bookmarkStart w:id="0" w:name="_GoBack"/>
      <w:bookmarkEnd w:id="0"/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Виноградов, В.С. Перевод. Общие и лексические вопросы. М., 2004.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Влахов С. И. Непереводимое в переводе. М., 2012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Гарбовский Н.К. Теория перевода. М., 2007. 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Ермолович Д. И. Имена собственные на стыке языков и культур: Заимствование и передача имен собств. с точки зрения лингвистики и теории пер.: С прил. правил практ. транскрипции имен с 23 иностр. яз., в том числе табл. слоговых соответствий для кит. и яп. яз. М., 2001.</w:t>
      </w:r>
    </w:p>
    <w:sectPr>
      <w:pgSz w:w="11909" w:h="16834"/>
      <w:pgMar w:top="1134" w:right="1361" w:bottom="1134" w:left="1361" w:header="72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55C6A"/>
    <w:multiLevelType w:val="multilevel"/>
    <w:tmpl w:val="28B55C6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E5"/>
    <w:rsid w:val="00053AFA"/>
    <w:rsid w:val="001B17E5"/>
    <w:rsid w:val="001E22C0"/>
    <w:rsid w:val="002F1E4D"/>
    <w:rsid w:val="008F78D1"/>
    <w:rsid w:val="009A17F2"/>
    <w:rsid w:val="00BD1709"/>
    <w:rsid w:val="00BD6B03"/>
    <w:rsid w:val="625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3935</Characters>
  <Lines>32</Lines>
  <Paragraphs>9</Paragraphs>
  <TotalTime>0</TotalTime>
  <ScaleCrop>false</ScaleCrop>
  <LinksUpToDate>false</LinksUpToDate>
  <CharactersWithSpaces>4616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2024-03-13T08:10:00Z</dcterms:created>
  <dc:creator>teacher</dc:creator>
  <cp:lastModifiedBy>Елена Мешкова</cp:lastModifiedBy>
  <dcterms:modified xsi:type="dcterms:W3CDTF">2024-04-30T17:35:22Z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4196FACF039E41858814F33B2BDD7F3B_13</vt:lpwstr>
  </property>
</Properties>
</file>