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auto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8"/>
          <w:lang w:val="ru-RU"/>
        </w:rPr>
        <w:t>Концептуальные метафоры со значением «строительства» в российском и китайском политическом дискурсе</w:t>
      </w:r>
    </w:p>
    <w:p>
      <w:pPr>
        <w:jc w:val="center"/>
        <w:rPr>
          <w:rFonts w:ascii="Times New Roman" w:hAnsi="Times New Roman" w:cs="Times New Roman"/>
          <w:b/>
          <w:i/>
          <w:color w:val="auto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8"/>
          <w:lang w:val="ru-RU"/>
        </w:rPr>
        <w:t xml:space="preserve">     Вань Яньсинь</w:t>
      </w:r>
    </w:p>
    <w:p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Аспирант</w:t>
      </w:r>
    </w:p>
    <w:p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Московский государственный университет имени М.В.</w:t>
      </w:r>
      <w:r>
        <w:rPr>
          <w:rFonts w:ascii="Times New Roman" w:hAnsi="Times New Roman" w:cs="Times New Roman"/>
          <w:i/>
          <w:color w:val="auto"/>
          <w:sz w:val="24"/>
          <w:szCs w:val="28"/>
        </w:rPr>
        <w:t> </w:t>
      </w:r>
      <w:r>
        <w:rPr>
          <w:rFonts w:ascii="Times New Roman" w:hAnsi="Times New Roman" w:cs="Times New Roman"/>
          <w:i/>
          <w:color w:val="auto"/>
          <w:sz w:val="24"/>
          <w:szCs w:val="28"/>
          <w:lang w:val="ru-RU"/>
        </w:rPr>
        <w:t>Ломоносова, Высшая школа перевода (факультет), Москва, Россия</w:t>
      </w:r>
    </w:p>
    <w:p>
      <w:pPr>
        <w:autoSpaceDE w:val="0"/>
        <w:autoSpaceDN w:val="0"/>
        <w:adjustRightInd w:val="0"/>
        <w:ind w:right="-720"/>
        <w:jc w:val="center"/>
        <w:rPr>
          <w:rStyle w:val="4"/>
          <w:rFonts w:ascii="Times New Roman" w:hAnsi="Times New Roman" w:cs="Times New Roman"/>
          <w:i/>
          <w:iCs/>
          <w:color w:val="auto"/>
          <w:sz w:val="24"/>
          <w:szCs w:val="28"/>
          <w:u w:val="none" w:color="000000"/>
          <w:lang w:val="ru-RU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8"/>
          <w:lang w:val="fr-FR"/>
        </w:rPr>
        <w:t>E</w:t>
      </w:r>
      <w:r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-</w:t>
      </w:r>
      <w:r>
        <w:rPr>
          <w:rFonts w:ascii="Times New Roman" w:hAnsi="Times New Roman" w:cs="Times New Roman"/>
          <w:i/>
          <w:iCs/>
          <w:color w:val="auto"/>
          <w:sz w:val="24"/>
          <w:szCs w:val="28"/>
          <w:lang w:val="fr-FR"/>
        </w:rPr>
        <w:t>mail</w:t>
      </w:r>
      <w:r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: </w:t>
      </w:r>
      <w:r>
        <w:fldChar w:fldCharType="begin"/>
      </w:r>
      <w:r>
        <w:instrText xml:space="preserve"> HYPERLINK "mailto:wanyanxin592@gmail.com" </w:instrText>
      </w:r>
      <w:r>
        <w:fldChar w:fldCharType="separate"/>
      </w:r>
      <w:r>
        <w:rPr>
          <w:rStyle w:val="4"/>
          <w:rFonts w:ascii="Times New Roman" w:hAnsi="Times New Roman" w:cs="Times New Roman"/>
          <w:i/>
          <w:iCs/>
          <w:color w:val="auto"/>
          <w:sz w:val="24"/>
          <w:szCs w:val="28"/>
          <w:u w:val="none" w:color="000000"/>
          <w:lang w:val="fr-FR"/>
        </w:rPr>
        <w:t>wanyanxin</w:t>
      </w:r>
      <w:r>
        <w:rPr>
          <w:rStyle w:val="4"/>
          <w:rFonts w:ascii="Times New Roman" w:hAnsi="Times New Roman" w:cs="Times New Roman"/>
          <w:i/>
          <w:iCs/>
          <w:color w:val="auto"/>
          <w:sz w:val="24"/>
          <w:szCs w:val="28"/>
          <w:u w:val="none" w:color="000000"/>
          <w:lang w:val="ru-RU"/>
        </w:rPr>
        <w:t>592@</w:t>
      </w:r>
      <w:r>
        <w:rPr>
          <w:rStyle w:val="4"/>
          <w:rFonts w:ascii="Times New Roman" w:hAnsi="Times New Roman" w:cs="Times New Roman"/>
          <w:i/>
          <w:iCs/>
          <w:color w:val="auto"/>
          <w:sz w:val="24"/>
          <w:szCs w:val="28"/>
          <w:u w:val="none" w:color="000000"/>
          <w:lang w:val="fr-FR"/>
        </w:rPr>
        <w:t>gmail</w:t>
      </w:r>
      <w:r>
        <w:rPr>
          <w:rStyle w:val="4"/>
          <w:rFonts w:ascii="Times New Roman" w:hAnsi="Times New Roman" w:cs="Times New Roman"/>
          <w:i/>
          <w:iCs/>
          <w:color w:val="auto"/>
          <w:sz w:val="24"/>
          <w:szCs w:val="28"/>
          <w:u w:val="none" w:color="000000"/>
          <w:lang w:val="ru-RU"/>
        </w:rPr>
        <w:t>.</w:t>
      </w:r>
      <w:r>
        <w:rPr>
          <w:rStyle w:val="4"/>
          <w:rFonts w:ascii="Times New Roman" w:hAnsi="Times New Roman" w:cs="Times New Roman"/>
          <w:i/>
          <w:iCs/>
          <w:color w:val="auto"/>
          <w:sz w:val="24"/>
          <w:szCs w:val="28"/>
          <w:u w:val="none" w:color="000000"/>
          <w:lang w:val="fr-FR"/>
        </w:rPr>
        <w:t>com</w:t>
      </w:r>
      <w:r>
        <w:rPr>
          <w:rStyle w:val="4"/>
          <w:rFonts w:ascii="Times New Roman" w:hAnsi="Times New Roman" w:cs="Times New Roman"/>
          <w:i/>
          <w:iCs/>
          <w:color w:val="auto"/>
          <w:sz w:val="24"/>
          <w:szCs w:val="28"/>
          <w:u w:val="none" w:color="000000"/>
          <w:lang w:val="fr-F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right="0" w:firstLine="397"/>
        <w:textAlignment w:val="auto"/>
        <w:rPr>
          <w:rFonts w:ascii="Times New Roman" w:hAnsi="Times New Roman" w:cs="Times New Roman"/>
          <w:iCs/>
          <w:color w:val="auto"/>
          <w:sz w:val="24"/>
          <w:szCs w:val="28"/>
          <w:lang w:val="ru-RU"/>
        </w:rPr>
      </w:pPr>
      <w:r>
        <w:rPr>
          <w:rFonts w:ascii="Times New Roman" w:hAnsi="Times New Roman" w:cs="Times New Roman"/>
          <w:iCs/>
          <w:color w:val="auto"/>
          <w:sz w:val="24"/>
          <w:szCs w:val="28"/>
          <w:lang w:val="ru-RU"/>
        </w:rPr>
        <w:t>Метафора, как когнитивный феномен, является одним из самых важных инструментов  восприятия и формирования концептов для понимания окружающего мира. В последние годы отношения между Россией и Китаем находятся на самом высоком уровне, и исследование метафоры в российском и китайском политическом дискурсе имеет высокую ценность. Политическая метафора упрощает сложные политические понятия до бытовых понятий, исследование которой воспроизводит процесс мышления человека в политической деятельности.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right="0" w:firstLine="397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Основываясь на материале «Совместного заявления Российской Федерации и Китайской Народной Республики»</w:t>
      </w:r>
      <w:r>
        <w:rPr>
          <w:rStyle w:val="4"/>
          <w:rFonts w:ascii="Times New Roman" w:hAnsi="Times New Roman" w:cs="Times New Roman"/>
          <w:iCs/>
          <w:color w:val="000000" w:themeColor="text1"/>
          <w:sz w:val="24"/>
          <w:szCs w:val="24"/>
          <w:u w:val="none" w:color="000000"/>
          <w:lang w:val="ru-RU"/>
          <w14:textFill>
            <w14:solidFill>
              <w14:schemeClr w14:val="tx1"/>
            </w14:solidFill>
          </w14:textFill>
        </w:rPr>
        <w:t>, данная работа посвящена проблеме концептуальной метафоры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 Российском и Китайском политическом дискурсе. Целью данной работы является выявление процесса метафоризации и роль метафоры в понимании человеком политического мира. В первой части доклада раскрывается теория концептуальной метафоры. Коцептуальная метафора как система взаимодействующих зеркал и </w:t>
      </w:r>
      <w:r>
        <w:rPr>
          <w:rFonts w:ascii="Times New Roman" w:hAnsi="Times New Roman" w:eastAsia="SimSun" w:cs="Times New Roman"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когнитивное явление, является зеркалом отражения концептов окружающего мира и важным путем мышления в познавательной деятельности человека. В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о второй части данной работы анализируются основные метафорические модели со значением «строительства», выявляются сферы-источники, сферы-цели и соответствия между ними в разных фреймах данных метафорических моделей. </w:t>
      </w:r>
      <w:r>
        <w:rPr>
          <w:rFonts w:ascii="Times New Roman" w:hAnsi="Times New Roman" w:eastAsia="SimSun" w:cs="Times New Roman"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Сфера-источник состоит из концептов, связанных с общественной и культурной деятельностью человека, которые являются результатами 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непосредственного </w:t>
      </w:r>
      <w:r>
        <w:rPr>
          <w:rFonts w:ascii="Times New Roman" w:hAnsi="Times New Roman" w:eastAsia="SimSun" w:cs="Times New Roman"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опыта взаимодействия человека с окружающим миром. Сфера-цель состоит из различных политических концептов, и с помощью метафоризации эти политические концепты могут быть интерпретированы и восприняты человеком. В третьей части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анализируются роли метафоры в сфере «постройки» в Российском и Китайском политическом дискурсе. Вывод заключается в том, что в политическом дискурсе концептуальная метафора отражает преставлени</w:t>
      </w:r>
      <w:r>
        <w:rPr>
          <w:rFonts w:hint="default" w:ascii="Times New Roman" w:hAnsi="Times New Roman" w:cs="Times New Roman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я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наивной картины мира и обработки когнитивного механизма в сознании человека, и также благодаря метафоре новые знания в политическом мире восприняты и приобретены через непосредственный опыт и знакомые обыденные знания человека.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Данная работа может помочь развитию когнитивной лингвистики и обогатить изучение языковой картины мира.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right="0" w:firstLine="397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auto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8"/>
          <w:lang w:val="ru-RU"/>
        </w:rPr>
        <w:t>Литература</w:t>
      </w:r>
    </w:p>
    <w:p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1. Баранов А. Н. Россия в метафорическом зеркале: Когнитивное исследование политической метафоры (1991—2000): Монография / Урал. гос. пед. ун-т. – Екатеринбург, 2001. – 238 с.</w:t>
      </w:r>
    </w:p>
    <w:p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2. Баранов A. H. Политическая метафорика публицистического текста: возможности лингвистического мониторинга // Язык СМИ как объект междисциплинарного исследования. м.,2003.</w:t>
      </w:r>
    </w:p>
    <w:p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3. Лакофф Дж., Джонсон М. Метафоры, которыми мы живем: Пер. с англ. / Под ред. и с предисл. А. Н. Баранова. — М.: Едиториал УРСС, 2004. – 256с.</w:t>
      </w:r>
    </w:p>
    <w:p>
      <w:pPr>
        <w:ind w:firstLine="397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4. Чудинов А. П. Россия в метафорическом зеркале: Когнитивное исследование политической метафоры (1991—2000): Монография / Урал. гос. пед. ун-т. — Екатеринбург, 2001. – 238 с.</w:t>
      </w:r>
      <w:bookmarkStart w:id="0" w:name="_GoBack"/>
      <w:bookmarkEnd w:id="0"/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1C"/>
    <w:rsid w:val="000E596A"/>
    <w:rsid w:val="00112A6E"/>
    <w:rsid w:val="00275B9D"/>
    <w:rsid w:val="00371D8D"/>
    <w:rsid w:val="009E15BF"/>
    <w:rsid w:val="00AB4F8B"/>
    <w:rsid w:val="00CF152D"/>
    <w:rsid w:val="00DD453E"/>
    <w:rsid w:val="00DE10C8"/>
    <w:rsid w:val="00E1078D"/>
    <w:rsid w:val="00E8032B"/>
    <w:rsid w:val="00EB7513"/>
    <w:rsid w:val="00F31247"/>
    <w:rsid w:val="00F32F77"/>
    <w:rsid w:val="00F5631C"/>
    <w:rsid w:val="4B691D2B"/>
    <w:rsid w:val="5D1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HAnsi"/>
      <w:bCs/>
      <w:color w:val="333333"/>
      <w:spacing w:val="8"/>
      <w:kern w:val="2"/>
      <w:sz w:val="23"/>
      <w:szCs w:val="23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2735</Characters>
  <Lines>22</Lines>
  <Paragraphs>6</Paragraphs>
  <TotalTime>26</TotalTime>
  <ScaleCrop>false</ScaleCrop>
  <LinksUpToDate>false</LinksUpToDate>
  <CharactersWithSpaces>3208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2024-02-16T12:05:00Z</dcterms:created>
  <dc:creator>ss</dc:creator>
  <cp:lastModifiedBy>Елена Мешкова</cp:lastModifiedBy>
  <dcterms:modified xsi:type="dcterms:W3CDTF">2024-05-04T21:33:45Z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E848C797504144158F53FBE3282AB850_13</vt:lpwstr>
  </property>
</Properties>
</file>