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Нейтринные силы и их поиск в коллапсе сверхновых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Сотиров С.А.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физический факультет, Москва, Россия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simon.sotirov02@mail.ru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Стандартная модель физики элементарных частиц предсказывает силу взаимодействия двух фермионов с поведением </w:t>
      </w:r>
      <m:oMath>
        <m:sSubSup>
          <m:sSub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sub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p>
        </m:sSubSup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/</m:t>
        </m:r>
        <m:sSup>
          <m:s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r</m:t>
            </m:r>
          </m:e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5</m:t>
            </m:r>
          </m:sup>
        </m:sSup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больших расстояниях, которая обусловлена  обменом двумя виртуальными нейтрино [1] (см. рис.), где </w:t>
      </w:r>
      <m:oMath>
        <m:sSubSup>
          <m:sSubSupPr>
            <m:ctrlPr>
              <w:rPr>
                <w:rFonts w:ascii="Times New Roman" w:cs="Times New Roman" w:eastAsia="Times New Roman" w:hAnsi="Times New Roman"/>
                <w:sz w:val="24"/>
                <w:szCs w:val="24"/>
              </w:rPr>
            </m:ctrlPr>
          </m:sSubSupPr>
          <m:e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G</m:t>
            </m:r>
          </m:e>
          <m:sub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F</m:t>
            </m:r>
          </m:sub>
          <m:sup>
            <m:r>
              <w:rPr>
                <w:rFonts w:ascii="Times New Roman" w:cs="Times New Roman" w:eastAsia="Times New Roman" w:hAnsi="Times New Roman"/>
                <w:sz w:val="24"/>
                <w:szCs w:val="24"/>
              </w:rPr>
              <m:t xml:space="preserve">2</m:t>
            </m:r>
          </m:sup>
        </m:sSubSup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постоянная Ферми. Данная сила очень “слабая” и до сих по не наблюдалась экспериментально. Однако, теоретические расчеты показывают, что в присутствии достаточно большой плотности нейтрино (например, потоки реакторных нейтрино или нейтрино, выделяющиеся при вспышках сверхновых) данные силы могут возрастать значительно на несколько порядков.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В работе вычисляются поправки к потенциалу нейтринных сил для некоторых распределений нейтринной среды (в том числе и анизотропной, что характерно для потока солнечных нейтрино) используя технику квантовой теории поля при конечной температуре. С учетом этого дополнительного потенциала анализируется как меняется эволюция сверхновых. На основе расчетов производятся выводы о наблюдаемости данных сил, а также насколько данная модель может объяснить пока что нерешенные проблемы о сверхновых, такие как сброс оболочки. 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1219200</wp:posOffset>
            </wp:positionH>
            <wp:positionV relativeFrom="paragraph">
              <wp:posOffset>541418</wp:posOffset>
            </wp:positionV>
            <wp:extent cx="2857500" cy="28575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R. P. Feynman, Feynman Lectures on Gravitation, section 2.3. Addison-Wesley, Reading, MA, 1995.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