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E" w:rsidRPr="00FF05B2" w:rsidRDefault="003336B0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r>
        <w:rPr>
          <w:b/>
          <w:bCs/>
          <w:color w:val="000000"/>
          <w:shd w:val="clear" w:color="auto" w:fill="FFFFFF"/>
        </w:rPr>
        <w:t>Влияние</w:t>
      </w:r>
      <w:r w:rsidRPr="003336B0">
        <w:rPr>
          <w:b/>
          <w:bCs/>
          <w:color w:val="000000"/>
          <w:shd w:val="clear" w:color="auto" w:fill="FFFFFF"/>
        </w:rPr>
        <w:t xml:space="preserve"> гетерогенного эффекта в парообразовании на нейтронно-физические характеристики ТВС </w:t>
      </w:r>
      <w:r>
        <w:rPr>
          <w:b/>
          <w:bCs/>
          <w:color w:val="000000"/>
          <w:shd w:val="clear" w:color="auto" w:fill="FFFFFF"/>
        </w:rPr>
        <w:t xml:space="preserve">на примере </w:t>
      </w:r>
      <w:r w:rsidRPr="003336B0">
        <w:rPr>
          <w:b/>
          <w:bCs/>
          <w:color w:val="000000"/>
          <w:shd w:val="clear" w:color="auto" w:fill="FFFFFF"/>
        </w:rPr>
        <w:t>реактора BWR</w:t>
      </w:r>
    </w:p>
    <w:bookmarkEnd w:id="0"/>
    <w:p w:rsidR="00BC53DF" w:rsidRPr="003336B0" w:rsidRDefault="003336B0" w:rsidP="00BC53DF">
      <w:pPr>
        <w:ind w:firstLine="426"/>
        <w:jc w:val="center"/>
        <w:rPr>
          <w:b/>
          <w:i/>
          <w:vertAlign w:val="superscript"/>
        </w:rPr>
      </w:pPr>
      <w:r>
        <w:rPr>
          <w:rStyle w:val="a3"/>
          <w:b/>
          <w:bCs/>
          <w:color w:val="000000"/>
          <w:shd w:val="clear" w:color="auto" w:fill="FFFFFF"/>
        </w:rPr>
        <w:t>Внуков Р.А.</w:t>
      </w:r>
      <w:r>
        <w:rPr>
          <w:rStyle w:val="a3"/>
          <w:b/>
          <w:bCs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Колесов В.В</w:t>
      </w:r>
      <w:r w:rsidR="00BC53DF" w:rsidRPr="00BC53DF">
        <w:rPr>
          <w:b/>
          <w:i/>
        </w:rPr>
        <w:t>.</w:t>
      </w:r>
      <w:r>
        <w:rPr>
          <w:b/>
          <w:i/>
          <w:vertAlign w:val="superscript"/>
        </w:rPr>
        <w:t>2</w:t>
      </w:r>
    </w:p>
    <w:p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336B0">
        <w:rPr>
          <w:rStyle w:val="a3"/>
          <w:color w:val="000000"/>
          <w:shd w:val="clear" w:color="auto" w:fill="FFFFFF"/>
        </w:rPr>
        <w:t>аспирант</w:t>
      </w:r>
      <w:r w:rsidRPr="00BC53DF">
        <w:rPr>
          <w:rStyle w:val="a3"/>
          <w:color w:val="000000"/>
          <w:shd w:val="clear" w:color="auto" w:fill="FFFFFF"/>
        </w:rPr>
        <w:t>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3336B0">
        <w:rPr>
          <w:i/>
          <w:color w:val="000000"/>
          <w:shd w:val="clear" w:color="auto" w:fill="FFFFFF"/>
        </w:rPr>
        <w:t>доцент</w:t>
      </w:r>
    </w:p>
    <w:p w:rsidR="003C665C" w:rsidRDefault="003336B0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ИАТЭ НИЯУ МИФИ</w:t>
      </w:r>
      <w:r w:rsidR="00145725" w:rsidRPr="00145725">
        <w:rPr>
          <w:rStyle w:val="a3"/>
          <w:color w:val="000000"/>
          <w:shd w:val="clear" w:color="auto" w:fill="FFFFFF"/>
        </w:rPr>
        <w:t xml:space="preserve">, </w:t>
      </w:r>
      <w:r>
        <w:rPr>
          <w:rStyle w:val="a3"/>
          <w:color w:val="000000"/>
          <w:shd w:val="clear" w:color="auto" w:fill="FFFFFF"/>
        </w:rPr>
        <w:t>Обнинск</w:t>
      </w:r>
      <w:r w:rsidR="00145725" w:rsidRPr="00145725">
        <w:rPr>
          <w:rStyle w:val="a3"/>
          <w:color w:val="000000"/>
          <w:shd w:val="clear" w:color="auto" w:fill="FFFFFF"/>
        </w:rPr>
        <w:t>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E–mail</w:t>
      </w:r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vnukovra</w:t>
      </w:r>
      <w:r w:rsidRPr="003336B0">
        <w:rPr>
          <w:rStyle w:val="a3"/>
          <w:color w:val="000000"/>
          <w:shd w:val="clear" w:color="auto" w:fill="FFFFFF"/>
        </w:rPr>
        <w:t>@</w:t>
      </w:r>
      <w:r>
        <w:rPr>
          <w:rStyle w:val="a3"/>
          <w:color w:val="000000"/>
          <w:shd w:val="clear" w:color="auto" w:fill="FFFFFF"/>
          <w:lang w:val="en-US"/>
        </w:rPr>
        <w:t>oiate</w:t>
      </w:r>
      <w:r w:rsidR="003A7D50" w:rsidRPr="003A7D50">
        <w:rPr>
          <w:i/>
          <w:shd w:val="clear" w:color="auto" w:fill="FFFFFF"/>
        </w:rPr>
        <w:t>.ru</w:t>
      </w:r>
    </w:p>
    <w:p w:rsidR="003336B0" w:rsidRDefault="003336B0" w:rsidP="003336B0">
      <w:pPr>
        <w:ind w:firstLine="397"/>
        <w:jc w:val="both"/>
      </w:pPr>
      <w:r w:rsidRPr="003336B0">
        <w:t>Традиционно при расчетах принимается случай гомогенного теплоносителя с уменьшенной плотностью.</w:t>
      </w:r>
      <w:r w:rsidRPr="003336B0">
        <w:t xml:space="preserve"> </w:t>
      </w:r>
      <w:r w:rsidRPr="003336B0">
        <w:t>Гетерогенная модель теплоносителя используется для оценки погрешности, связанной с гомогенизацией зоны теплоносителя.</w:t>
      </w:r>
      <w:r w:rsidRPr="003336B0">
        <w:t xml:space="preserve"> </w:t>
      </w:r>
      <w:r w:rsidRPr="003336B0">
        <w:t xml:space="preserve">Известны работы по отслеживанию характеристик реакторов типа </w:t>
      </w:r>
      <w:r w:rsidRPr="003336B0">
        <w:rPr>
          <w:lang w:val="en-US"/>
        </w:rPr>
        <w:t>BWR</w:t>
      </w:r>
      <w:r w:rsidRPr="003336B0">
        <w:t xml:space="preserve"> и РБМК, которые имеют достаточную точность для их применения</w:t>
      </w:r>
      <w:r w:rsidRPr="003336B0">
        <w:t xml:space="preserve"> [1-2]</w:t>
      </w:r>
      <w:r w:rsidRPr="003336B0">
        <w:t>.</w:t>
      </w:r>
    </w:p>
    <w:p w:rsidR="003336B0" w:rsidRDefault="003336B0" w:rsidP="003336B0">
      <w:pPr>
        <w:ind w:firstLine="397"/>
        <w:jc w:val="both"/>
      </w:pPr>
      <w:r w:rsidRPr="003336B0">
        <w:t>Для гетерогенизации зоны теплоносителя необходимо понимать, каким образом устроены пузыри</w:t>
      </w:r>
      <w:r>
        <w:t xml:space="preserve"> (форма, размеры)</w:t>
      </w:r>
      <w:r w:rsidRPr="003336B0">
        <w:t>, как они размещены по зоне и их доли в аксиальном профиле.</w:t>
      </w:r>
    </w:p>
    <w:p w:rsidR="003336B0" w:rsidRDefault="003336B0" w:rsidP="003336B0">
      <w:pPr>
        <w:ind w:firstLine="397"/>
        <w:jc w:val="both"/>
      </w:pPr>
      <w:r>
        <w:t>Рассматривается модель кипящего реактора BWR, описанная в бенчмарке OECD/NEA Burnup Credit Criticality Benchmark Phase IIIB [</w:t>
      </w:r>
      <w:r>
        <w:t>3</w:t>
      </w:r>
      <w:r>
        <w:t>].</w:t>
      </w:r>
      <w:r>
        <w:t xml:space="preserve"> Для проведения расчетов использовался программный комплекс </w:t>
      </w:r>
      <w:r>
        <w:rPr>
          <w:lang w:val="en-US"/>
        </w:rPr>
        <w:t>Serpent</w:t>
      </w:r>
      <w:r w:rsidRPr="003336B0">
        <w:t xml:space="preserve"> 2 [4]. </w:t>
      </w:r>
      <w:r>
        <w:t xml:space="preserve">Программный комплекс </w:t>
      </w:r>
      <w:r>
        <w:t>позволяет моделировать пароо</w:t>
      </w:r>
      <w:r>
        <w:t xml:space="preserve">бразование набором паровых сфер (в модели создается гомогенная среда состава </w:t>
      </w:r>
      <w:r>
        <w:rPr>
          <w:lang w:val="en-US"/>
        </w:rPr>
        <w:t>H</w:t>
      </w:r>
      <w:r w:rsidRPr="003336B0">
        <w:rPr>
          <w:vertAlign w:val="subscript"/>
        </w:rPr>
        <w:t>2</w:t>
      </w:r>
      <w:r>
        <w:rPr>
          <w:lang w:val="en-US"/>
        </w:rPr>
        <w:t>O</w:t>
      </w:r>
      <w:r>
        <w:t xml:space="preserve"> различной плотности)</w:t>
      </w:r>
      <w:r>
        <w:t xml:space="preserve"> различного радиуса</w:t>
      </w:r>
      <w:r>
        <w:t>,</w:t>
      </w:r>
      <w:r>
        <w:t xml:space="preserve"> случайно разбросанных в теплоносителе (вод</w:t>
      </w:r>
      <w:r>
        <w:t>е</w:t>
      </w:r>
      <w:r>
        <w:t xml:space="preserve">) в соответствии с долей пара в нем. На рисунке </w:t>
      </w:r>
      <w:r>
        <w:t>1</w:t>
      </w:r>
      <w:r>
        <w:t xml:space="preserve"> приводится поперечное сечение ТВС реактора BWR в такой модели. Расчеты проводились с использованием библиотеки JEFF-3.1.1 [</w:t>
      </w:r>
      <w:r>
        <w:t>5</w:t>
      </w:r>
      <w:r>
        <w:t>].</w:t>
      </w:r>
    </w:p>
    <w:p w:rsidR="00233643" w:rsidRPr="00233643" w:rsidRDefault="00233643" w:rsidP="00233643">
      <w:pPr>
        <w:ind w:firstLine="397"/>
        <w:jc w:val="both"/>
      </w:pPr>
    </w:p>
    <w:p w:rsidR="00011E41" w:rsidRPr="00613B5D" w:rsidRDefault="00011E41" w:rsidP="00011E41">
      <w:pPr>
        <w:ind w:firstLine="397"/>
        <w:jc w:val="both"/>
        <w:rPr>
          <w:iCs/>
        </w:rPr>
      </w:pP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813C9E" w:rsidRPr="00F670FD" w:rsidTr="00442D0A">
        <w:trPr>
          <w:gridBefore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A318C8" w:rsidRDefault="00A318C8" w:rsidP="00A318C8">
            <w:pPr>
              <w:rPr>
                <w:noProof/>
              </w:rPr>
            </w:pPr>
          </w:p>
          <w:p w:rsidR="00813C9E" w:rsidRPr="00A659DC" w:rsidRDefault="003336B0" w:rsidP="00A318C8">
            <w:pPr>
              <w:ind w:firstLine="426"/>
              <w:jc w:val="center"/>
            </w:pPr>
            <w:r>
              <w:object w:dxaOrig="10665" w:dyaOrig="5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1" type="#_x0000_t75" style="width:369pt;height:176.25pt" o:ole="">
                  <v:imagedata r:id="rId8" o:title=""/>
                </v:shape>
                <o:OLEObject Type="Embed" ProgID="PBrush" ShapeID="_x0000_i1171" DrawAspect="Content" ObjectID="_1769631889" r:id="rId9"/>
              </w:object>
            </w:r>
          </w:p>
        </w:tc>
        <w:tc>
          <w:tcPr>
            <w:tcW w:w="263" w:type="dxa"/>
          </w:tcPr>
          <w:p w:rsidR="00813C9E" w:rsidRPr="00A659DC" w:rsidRDefault="00813C9E" w:rsidP="00011E41">
            <w:pPr>
              <w:ind w:firstLine="426"/>
            </w:pPr>
          </w:p>
        </w:tc>
      </w:tr>
      <w:tr w:rsidR="00813C9E" w:rsidRPr="00F670FD" w:rsidTr="00442D0A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:rsidR="00813C9E" w:rsidRPr="003336B0" w:rsidRDefault="00813C9E" w:rsidP="00011E41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 w:rsidR="003336B0" w:rsidRPr="003336B0">
              <w:rPr>
                <w:sz w:val="22"/>
                <w:szCs w:val="22"/>
              </w:rPr>
              <w:t>Поперечное сечение модели ТВС реактора BWR</w:t>
            </w:r>
          </w:p>
        </w:tc>
      </w:tr>
    </w:tbl>
    <w:p w:rsidR="00813C9E" w:rsidRDefault="00813C9E" w:rsidP="00011E41">
      <w:pPr>
        <w:ind w:firstLine="426"/>
        <w:jc w:val="center"/>
      </w:pPr>
    </w:p>
    <w:p w:rsidR="00233643" w:rsidRPr="00233643" w:rsidRDefault="00233643" w:rsidP="00233643">
      <w:pPr>
        <w:ind w:firstLine="397"/>
        <w:jc w:val="both"/>
        <w:rPr>
          <w:color w:val="000000"/>
        </w:rPr>
      </w:pPr>
      <w:r w:rsidRPr="00233643">
        <w:rPr>
          <w:color w:val="000000"/>
        </w:rPr>
        <w:t xml:space="preserve">Была рассчитана зависимость коэффициента размножения от доли пара и размера пузырьков пара. Модель принималась бесконечной по всем направлениям (граничное условие отражение). </w:t>
      </w:r>
    </w:p>
    <w:p w:rsidR="00233643" w:rsidRDefault="00233643" w:rsidP="00233643">
      <w:pPr>
        <w:ind w:firstLine="397"/>
        <w:jc w:val="both"/>
        <w:rPr>
          <w:color w:val="000000"/>
        </w:rPr>
      </w:pPr>
      <w:r w:rsidRPr="00233643">
        <w:rPr>
          <w:color w:val="000000"/>
        </w:rPr>
        <w:t>Исследован пустотный эффект реактивности для различных моделей (с гомогенным заданием пара и гетерогенным). На рисунке 2 показаны отклонения в % пустотного эффекта, где эталоном принята гомогенная модель. В расчетах размер пузырьков принят 0.1 см.</w:t>
      </w: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233643" w:rsidRPr="00A659DC" w:rsidTr="00512172">
        <w:trPr>
          <w:gridBefore w:val="1"/>
          <w:gridAfter w:val="1"/>
          <w:wBefore w:w="15" w:type="dxa"/>
          <w:wAfter w:w="263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233643" w:rsidRDefault="00233643" w:rsidP="00512172">
            <w:pPr>
              <w:rPr>
                <w:noProof/>
              </w:rPr>
            </w:pPr>
          </w:p>
          <w:p w:rsidR="00233643" w:rsidRPr="00A659DC" w:rsidRDefault="00A72FF9" w:rsidP="00512172">
            <w:pPr>
              <w:ind w:firstLine="426"/>
              <w:jc w:val="center"/>
            </w:pPr>
            <w:r w:rsidRPr="00233643">
              <w:rPr>
                <w:rFonts w:ascii="Calibri" w:eastAsia="Calibri" w:hAnsi="Calibri" w:cs="Tahoma"/>
                <w:noProof/>
                <w:sz w:val="22"/>
                <w:szCs w:val="22"/>
              </w:rPr>
              <w:drawing>
                <wp:inline distT="0" distB="0" distL="0" distR="0">
                  <wp:extent cx="5153025" cy="2952750"/>
                  <wp:effectExtent l="0" t="0" r="0" b="0"/>
                  <wp:docPr id="168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233643" w:rsidRPr="003336B0" w:rsidTr="00512172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:rsidR="00233643" w:rsidRPr="003336B0" w:rsidRDefault="00233643" w:rsidP="000D6A06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</w:t>
            </w:r>
            <w:r w:rsidR="000D6A06">
              <w:rPr>
                <w:b/>
                <w:i/>
                <w:sz w:val="22"/>
                <w:szCs w:val="22"/>
              </w:rPr>
              <w:t>2</w:t>
            </w:r>
            <w:r w:rsidRPr="002700F0">
              <w:rPr>
                <w:b/>
                <w:i/>
                <w:sz w:val="22"/>
                <w:szCs w:val="22"/>
              </w:rPr>
              <w:t>.</w:t>
            </w:r>
            <w:r w:rsidRPr="002700F0">
              <w:rPr>
                <w:sz w:val="22"/>
                <w:szCs w:val="22"/>
              </w:rPr>
              <w:t xml:space="preserve"> </w:t>
            </w:r>
            <w:r w:rsidR="000D6A06">
              <w:rPr>
                <w:sz w:val="22"/>
                <w:szCs w:val="22"/>
              </w:rPr>
              <w:t>Отклонения</w:t>
            </w:r>
            <w:r w:rsidR="000D6A06" w:rsidRPr="000D6A06">
              <w:rPr>
                <w:sz w:val="22"/>
                <w:szCs w:val="22"/>
              </w:rPr>
              <w:t xml:space="preserve"> пустотного эффекта реактивности </w:t>
            </w:r>
            <w:r w:rsidR="000D6A06">
              <w:rPr>
                <w:sz w:val="22"/>
                <w:szCs w:val="22"/>
              </w:rPr>
              <w:t>гетерогенной от гомогенной</w:t>
            </w:r>
            <w:r w:rsidR="000D6A06" w:rsidRPr="000D6A06">
              <w:rPr>
                <w:sz w:val="22"/>
                <w:szCs w:val="22"/>
              </w:rPr>
              <w:t xml:space="preserve"> модел</w:t>
            </w:r>
            <w:r w:rsidR="000D6A06">
              <w:rPr>
                <w:sz w:val="22"/>
                <w:szCs w:val="22"/>
              </w:rPr>
              <w:t>и при</w:t>
            </w:r>
            <w:r w:rsidR="000D6A06" w:rsidRPr="000D6A06">
              <w:rPr>
                <w:sz w:val="22"/>
                <w:szCs w:val="22"/>
              </w:rPr>
              <w:t xml:space="preserve"> различн</w:t>
            </w:r>
            <w:r w:rsidR="000D6A06">
              <w:rPr>
                <w:sz w:val="22"/>
                <w:szCs w:val="22"/>
              </w:rPr>
              <w:t>ой</w:t>
            </w:r>
            <w:r w:rsidR="000D6A06" w:rsidRPr="000D6A06">
              <w:rPr>
                <w:sz w:val="22"/>
                <w:szCs w:val="22"/>
              </w:rPr>
              <w:t xml:space="preserve"> дол</w:t>
            </w:r>
            <w:r w:rsidR="000D6A06">
              <w:rPr>
                <w:sz w:val="22"/>
                <w:szCs w:val="22"/>
              </w:rPr>
              <w:t>и</w:t>
            </w:r>
            <w:r w:rsidR="000D6A06" w:rsidRPr="000D6A06">
              <w:rPr>
                <w:sz w:val="22"/>
                <w:szCs w:val="22"/>
              </w:rPr>
              <w:t xml:space="preserve"> пара</w:t>
            </w:r>
          </w:p>
        </w:tc>
      </w:tr>
    </w:tbl>
    <w:p w:rsidR="00233643" w:rsidRPr="00233643" w:rsidRDefault="00233643" w:rsidP="00233643">
      <w:pPr>
        <w:ind w:firstLine="397"/>
        <w:jc w:val="both"/>
        <w:rPr>
          <w:color w:val="000000"/>
        </w:rPr>
      </w:pPr>
    </w:p>
    <w:p w:rsidR="004F0E58" w:rsidRPr="00813C9E" w:rsidRDefault="00233643" w:rsidP="00233643">
      <w:pPr>
        <w:ind w:firstLine="397"/>
        <w:jc w:val="both"/>
      </w:pPr>
      <w:r w:rsidRPr="00233643">
        <w:rPr>
          <w:color w:val="000000"/>
        </w:rPr>
        <w:t>Проведенные расчеты показали необходимость учета гетерогенной структуры двухфазной среды из воды пара для кипящих реакторов (на примере BWR). В расчетном исследовании различия для гомогенной и гетерогенной моделей ТВС составили до 0.3% в величине Кбеск, что значительно значительно выше стати</w:t>
      </w:r>
      <w:r w:rsidR="000D6A06">
        <w:rPr>
          <w:color w:val="000000"/>
        </w:rPr>
        <w:t>стической погрешности (±0.0001)</w:t>
      </w:r>
      <w:r w:rsidR="00813C9E">
        <w:rPr>
          <w:color w:val="000000"/>
        </w:rPr>
        <w:t>.</w:t>
      </w:r>
    </w:p>
    <w:p w:rsidR="001C65A7" w:rsidRDefault="001C65A7" w:rsidP="00011E41">
      <w:pPr>
        <w:ind w:firstLine="426"/>
        <w:jc w:val="both"/>
        <w:rPr>
          <w:b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711436" w:rsidRDefault="000D6A06" w:rsidP="00711436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0D6A06">
        <w:rPr>
          <w:lang w:val="en-US"/>
        </w:rPr>
        <w:t>BWRVIP-06-A: “BWR Vessel and Internals Project, Safety Assessment of BWR Reactor Internals,” EPRI Technical Report 1006598, March 2002.</w:t>
      </w:r>
      <w:r w:rsidRPr="000D6A06">
        <w:rPr>
          <w:lang w:val="en-US"/>
        </w:rPr>
        <w:t xml:space="preserve"> </w:t>
      </w:r>
    </w:p>
    <w:p w:rsidR="00711436" w:rsidRPr="00711436" w:rsidRDefault="00711436" w:rsidP="00711436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711436">
        <w:rPr>
          <w:lang w:val="en-US"/>
        </w:rPr>
        <w:t>Yu. V. Alimov, V. K. Davydov, A. P. Zhirnov, and I. M. Rozhdestvenskii, “Computational platform GENIFER for precision neutron-physical calculations of RBMK-1000 reactors,” in: NIKIET Ann. Report (2009), pp. 65–66.</w:t>
      </w:r>
    </w:p>
    <w:p w:rsidR="000D6A06" w:rsidRDefault="000D6A06" w:rsidP="000D6A06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>
        <w:rPr>
          <w:lang w:val="en-US"/>
        </w:rPr>
        <w:t>H.</w:t>
      </w:r>
      <w:r w:rsidRPr="000D6A06">
        <w:rPr>
          <w:lang w:val="en-US"/>
        </w:rPr>
        <w:t xml:space="preserve"> Okuno, </w:t>
      </w:r>
      <w:r>
        <w:rPr>
          <w:lang w:val="en-US"/>
        </w:rPr>
        <w:t>Y.</w:t>
      </w:r>
      <w:r w:rsidRPr="000D6A06">
        <w:rPr>
          <w:lang w:val="en-US"/>
        </w:rPr>
        <w:t xml:space="preserve"> Naito, </w:t>
      </w:r>
      <w:r>
        <w:rPr>
          <w:lang w:val="en-US"/>
        </w:rPr>
        <w:t>K.</w:t>
      </w:r>
      <w:r w:rsidRPr="000D6A06">
        <w:rPr>
          <w:lang w:val="en-US"/>
        </w:rPr>
        <w:t xml:space="preserve"> Suyama. OECD/NEA Burnup Credit Criticality Benchmarks Phase IIIB: Burnup Calculations of BWR Fuel Assemblies for Storage and Transport. NEA/NSC/DOC (2002)2.</w:t>
      </w:r>
      <w:r w:rsidRPr="000D6A06">
        <w:rPr>
          <w:lang w:val="en-US"/>
        </w:rPr>
        <w:tab/>
      </w:r>
    </w:p>
    <w:p w:rsidR="000D6A06" w:rsidRDefault="000D6A06" w:rsidP="000D6A06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0D6A06">
        <w:rPr>
          <w:color w:val="000000"/>
          <w:szCs w:val="20"/>
          <w:lang w:val="en-US"/>
        </w:rPr>
        <w:t>J.</w:t>
      </w:r>
      <w:r w:rsidRPr="000D6A06">
        <w:rPr>
          <w:lang w:val="en-US"/>
        </w:rPr>
        <w:t xml:space="preserve"> Leppänen. PSG2 / Serpent – a Continuous-energy Monte Carlo Reactor Physics Burnup Calculation Code March 5, 2012 User’s Manual. 163 p.</w:t>
      </w:r>
    </w:p>
    <w:p w:rsidR="00011E41" w:rsidRPr="000D6A06" w:rsidRDefault="000D6A06" w:rsidP="000D6A06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0D6A06">
        <w:rPr>
          <w:lang w:val="en-US"/>
        </w:rPr>
        <w:t>A. Santamarina, D. Bernard, P. Blaise, M. Coste, A. Courcelle, T.D. Huynh, C. Jouanne, P. Leconte, O. Litaize, S. Mengelle, G. Noguère, J-M. Ruggiéri, O. Sérot, J. Tommasi, C. Vaglio, J-F. Vidal. The JEFF-3.1.1 Nuclear Data Library JEFF Report 22 Validation Results from JEF-2.2 to JEFF-3.1.1. 61 p. ISBN 978-92-64-99074-6.</w:t>
      </w:r>
    </w:p>
    <w:sectPr w:rsidR="00011E41" w:rsidRPr="000D6A06" w:rsidSect="00813C9E">
      <w:footerReference w:type="even" r:id="rId11"/>
      <w:footerReference w:type="default" r:id="rId12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40" w:rsidRDefault="001A3E40">
      <w:r>
        <w:separator/>
      </w:r>
    </w:p>
  </w:endnote>
  <w:endnote w:type="continuationSeparator" w:id="0">
    <w:p w:rsidR="001A3E40" w:rsidRDefault="001A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40" w:rsidRDefault="001A3E40">
      <w:r>
        <w:separator/>
      </w:r>
    </w:p>
  </w:footnote>
  <w:footnote w:type="continuationSeparator" w:id="0">
    <w:p w:rsidR="001A3E40" w:rsidRDefault="001A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B14D1"/>
    <w:multiLevelType w:val="hybridMultilevel"/>
    <w:tmpl w:val="1C321928"/>
    <w:lvl w:ilvl="0" w:tplc="5AD4E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0D6A06"/>
    <w:rsid w:val="00101912"/>
    <w:rsid w:val="00145559"/>
    <w:rsid w:val="00145725"/>
    <w:rsid w:val="001560FA"/>
    <w:rsid w:val="00191B00"/>
    <w:rsid w:val="001942D4"/>
    <w:rsid w:val="001A3E40"/>
    <w:rsid w:val="001C34DE"/>
    <w:rsid w:val="001C65A7"/>
    <w:rsid w:val="00203945"/>
    <w:rsid w:val="00233643"/>
    <w:rsid w:val="002522CA"/>
    <w:rsid w:val="002700F0"/>
    <w:rsid w:val="002D0661"/>
    <w:rsid w:val="003134BF"/>
    <w:rsid w:val="003336B0"/>
    <w:rsid w:val="0034624D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1436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72FF9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F1AB7"/>
  <w15:chartTrackingRefBased/>
  <w15:docId w15:val="{32902AD7-1362-44F1-BAE1-40382D63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4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Engineer\Serpent\BWR-CP\BWR%20heterogeneous%20boili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982730182417973"/>
          <c:y val="3.6776997659645601E-2"/>
          <c:w val="0.75582713164595072"/>
          <c:h val="0.80486340912501286"/>
        </c:manualLayout>
      </c:layout>
      <c:scatterChart>
        <c:scatterStyle val="lineMarker"/>
        <c:varyColors val="0"/>
        <c:ser>
          <c:idx val="1"/>
          <c:order val="0"/>
          <c:tx>
            <c:v>δR</c:v>
          </c:tx>
          <c:spPr>
            <a:ln w="12700" cap="rnd">
              <a:solidFill>
                <a:sysClr val="windowText" lastClr="000000"/>
              </a:solidFill>
              <a:prstDash val="sysDot"/>
              <a:round/>
            </a:ln>
            <a:effectLst/>
          </c:spPr>
          <c:marker>
            <c:symbol val="dash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fixedVal"/>
            <c:noEndCap val="0"/>
            <c:val val="1.0000000000000002E-3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'Fig 3'!$F$2:$F$8</c:f>
              <c:numCache>
                <c:formatCode>General</c:formatCode>
                <c:ptCount val="7"/>
                <c:pt idx="0">
                  <c:v>5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55.000000000000007</c:v>
                </c:pt>
              </c:numCache>
            </c:numRef>
          </c:xVal>
          <c:yVal>
            <c:numRef>
              <c:f>'Fig 3'!$Q$2:$Q$8</c:f>
              <c:numCache>
                <c:formatCode>General</c:formatCode>
                <c:ptCount val="7"/>
                <c:pt idx="0">
                  <c:v>2.2780976899696714E-2</c:v>
                </c:pt>
                <c:pt idx="1">
                  <c:v>1.551632154211402E-2</c:v>
                </c:pt>
                <c:pt idx="2">
                  <c:v>-4.9746057506787844E-2</c:v>
                </c:pt>
                <c:pt idx="3">
                  <c:v>-5.8051439826187767E-2</c:v>
                </c:pt>
                <c:pt idx="4">
                  <c:v>-5.2200898516550742E-2</c:v>
                </c:pt>
                <c:pt idx="5">
                  <c:v>-5.1240054061605589E-2</c:v>
                </c:pt>
                <c:pt idx="6">
                  <c:v>-5.7319817380965477E-2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79C-4749-8512-783851D6B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3325567"/>
        <c:axId val="403318079"/>
      </c:scatterChart>
      <c:valAx>
        <c:axId val="40332556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x, %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4524459746175449"/>
              <c:y val="0.293328805313578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3318079"/>
        <c:crosses val="autoZero"/>
        <c:crossBetween val="midCat"/>
      </c:valAx>
      <c:valAx>
        <c:axId val="40331807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l-GR"/>
                  <a:t>δρ</a:t>
                </a:r>
                <a:r>
                  <a:rPr lang="en-US"/>
                  <a:t>/</a:t>
                </a:r>
                <a:r>
                  <a:rPr lang="el-GR"/>
                  <a:t>ρ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0"/>
        <c:majorTickMark val="cross"/>
        <c:minorTickMark val="none"/>
        <c:tickLblPos val="nextTo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332556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B2EB-6B27-4B10-88CD-99D41E6C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2836</Characters>
  <Application>Microsoft Office Word</Application>
  <DocSecurity>0</DocSecurity>
  <Lines>83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Vnukov R.</cp:lastModifiedBy>
  <cp:revision>2</cp:revision>
  <dcterms:created xsi:type="dcterms:W3CDTF">2024-02-16T20:38:00Z</dcterms:created>
  <dcterms:modified xsi:type="dcterms:W3CDTF">2024-02-16T20:38:00Z</dcterms:modified>
</cp:coreProperties>
</file>