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4"/>
        </w:tabs>
        <w:ind w:firstLine="426"/>
        <w:jc w:val="center"/>
        <w:rPr>
          <w:b w:val="1"/>
          <w:sz w:val="30"/>
          <w:szCs w:val="30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Оптимизация калориметра типа SPACAL для экспериментов на ускорителях LHC и SPS с увеличенной светимостью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4"/>
        </w:tabs>
        <w:ind w:firstLine="426"/>
        <w:jc w:val="center"/>
        <w:rPr>
          <w:b w:val="1"/>
          <w:color w:val="000000"/>
          <w:sz w:val="24"/>
          <w:szCs w:val="24"/>
          <w:highlight w:val="white"/>
          <w:vertAlign w:val="superscript"/>
        </w:rPr>
      </w:pP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Гуляева В</w:t>
      </w:r>
      <w:r w:rsidDel="00000000" w:rsidR="00000000" w:rsidRPr="00000000">
        <w:rPr>
          <w:b w:val="1"/>
          <w:i w:val="1"/>
          <w:color w:val="000000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В</w:t>
      </w:r>
      <w:r w:rsidDel="00000000" w:rsidR="00000000" w:rsidRPr="00000000">
        <w:rPr>
          <w:b w:val="1"/>
          <w:i w:val="1"/>
          <w:color w:val="000000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vertAlign w:val="superscript"/>
          <w:rtl w:val="0"/>
        </w:rPr>
        <w:t xml:space="preserve">1</w:t>
      </w:r>
      <w:r w:rsidDel="00000000" w:rsidR="00000000" w:rsidRPr="00000000">
        <w:rPr>
          <w:b w:val="1"/>
          <w:sz w:val="24"/>
          <w:szCs w:val="24"/>
          <w:highlight w:val="white"/>
          <w:vertAlign w:val="superscript"/>
          <w:rtl w:val="0"/>
        </w:rPr>
        <w:t xml:space="preserve">1</w:t>
      </w:r>
      <w:r w:rsidDel="00000000" w:rsidR="00000000" w:rsidRPr="00000000">
        <w:rPr>
          <w:b w:val="1"/>
          <w:i w:val="1"/>
          <w:color w:val="000000"/>
          <w:sz w:val="24"/>
          <w:szCs w:val="24"/>
          <w:highlight w:val="white"/>
          <w:rtl w:val="0"/>
        </w:rPr>
        <w:t xml:space="preserve">,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Анохина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 А.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М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vertAlign w:val="superscript"/>
          <w:rtl w:val="0"/>
        </w:rPr>
        <w:t xml:space="preserve"> 21</w:t>
      </w:r>
      <w:r w:rsidDel="00000000" w:rsidR="00000000" w:rsidRPr="00000000">
        <w:rPr>
          <w:b w:val="1"/>
          <w:color w:val="000000"/>
          <w:sz w:val="24"/>
          <w:szCs w:val="24"/>
          <w:vertAlign w:val="superscript"/>
          <w:rtl w:val="0"/>
        </w:rPr>
        <w:t xml:space="preserve">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, Холоденко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 С.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А.</w:t>
      </w:r>
      <w:r w:rsidDel="00000000" w:rsidR="00000000" w:rsidRPr="00000000">
        <w:rPr>
          <w:b w:val="1"/>
          <w:sz w:val="24"/>
          <w:szCs w:val="24"/>
          <w:highlight w:val="white"/>
          <w:vertAlign w:val="superscript"/>
          <w:rtl w:val="0"/>
        </w:rPr>
        <w:t xml:space="preserve"> 32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4"/>
        </w:tabs>
        <w:ind w:firstLine="426"/>
        <w:jc w:val="center"/>
        <w:rPr>
          <w:i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vertAlign w:val="superscript"/>
          <w:rtl w:val="0"/>
        </w:rPr>
        <w:t xml:space="preserve">1</w:t>
      </w: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студент, </w:t>
      </w:r>
      <w:r w:rsidDel="00000000" w:rsidR="00000000" w:rsidRPr="00000000">
        <w:rPr>
          <w:color w:val="000000"/>
          <w:sz w:val="24"/>
          <w:szCs w:val="24"/>
          <w:highlight w:val="white"/>
          <w:vertAlign w:val="superscript"/>
          <w:rtl w:val="0"/>
        </w:rPr>
        <w:t xml:space="preserve">2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научный руководитель, </w:t>
      </w:r>
      <w:r w:rsidDel="00000000" w:rsidR="00000000" w:rsidRPr="00000000">
        <w:rPr>
          <w:sz w:val="24"/>
          <w:szCs w:val="24"/>
          <w:highlight w:val="white"/>
          <w:vertAlign w:val="superscript"/>
          <w:rtl w:val="0"/>
        </w:rPr>
        <w:t xml:space="preserve">3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научный сотрудник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ind w:firstLine="426"/>
        <w:jc w:val="center"/>
        <w:rPr>
          <w:i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vertAlign w:val="superscript"/>
          <w:rtl w:val="0"/>
        </w:rPr>
        <w:t xml:space="preserve">1</w:t>
      </w: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Московский государственный университет имени М.В.Ломоносова, </w:t>
        <w:br w:type="textWrapping"/>
        <w:t xml:space="preserve">физический факультет, Москва, Россия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vertAlign w:val="superscript"/>
          <w:rtl w:val="0"/>
        </w:rPr>
        <w:t xml:space="preserve">2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НИЦ “Курчатовский институт”, ИФВЭ, </w:t>
        <w:br w:type="textWrapping"/>
        <w:t xml:space="preserve">Московская обл., Протвино, Россия</w:t>
      </w: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br w:type="textWrapping"/>
        <w:t xml:space="preserve">E–mail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: </w:t>
      </w:r>
      <w:hyperlink r:id="rId7">
        <w:r w:rsidDel="00000000" w:rsidR="00000000" w:rsidRPr="00000000">
          <w:rPr>
            <w:i w:val="1"/>
            <w:color w:val="1155cc"/>
            <w:sz w:val="24"/>
            <w:szCs w:val="24"/>
            <w:highlight w:val="white"/>
            <w:u w:val="single"/>
            <w:rtl w:val="0"/>
          </w:rPr>
          <w:t xml:space="preserve">guliaeva.vv19@physics.msu.ru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Существенная модернизация LHC позволит расширить текущую физическую программу и откроет возможности для изучение физики вне Стандартной Модели (СМ) за счет увеличения светимости до </w:t>
      </w:r>
      <m:oMath>
        <m:r>
          <w:rPr>
            <w:sz w:val="24"/>
            <w:szCs w:val="24"/>
          </w:rPr>
          <m:t xml:space="preserve">5,0·</m:t>
        </m:r>
        <m:sSup>
          <m:sSupPr>
            <m:ctrlPr>
              <w:rPr>
                <w:sz w:val="24"/>
                <w:szCs w:val="24"/>
              </w:rPr>
            </m:ctrlPr>
          </m:sSupPr>
          <m:e>
            <m:r>
              <w:rPr>
                <w:sz w:val="24"/>
                <w:szCs w:val="24"/>
              </w:rPr>
              <m:t xml:space="preserve">10</m:t>
            </m:r>
          </m:e>
          <m:sup>
            <m:r>
              <w:rPr>
                <w:sz w:val="24"/>
                <w:szCs w:val="24"/>
              </w:rPr>
              <m:t xml:space="preserve">34</m:t>
            </m:r>
          </m:sup>
        </m:sSup>
        <m:sSup>
          <m:sSupPr>
            <m:ctrlPr>
              <w:rPr>
                <w:sz w:val="24"/>
                <w:szCs w:val="24"/>
              </w:rPr>
            </m:ctrlPr>
          </m:sSupPr>
          <m:e>
            <m:r>
              <w:rPr>
                <w:sz w:val="24"/>
                <w:szCs w:val="24"/>
              </w:rPr>
              <m:t xml:space="preserve">cm</m:t>
            </m:r>
          </m:e>
          <m:sup>
            <m:r>
              <w:rPr>
                <w:sz w:val="24"/>
                <w:szCs w:val="24"/>
              </w:rPr>
              <m:t xml:space="preserve">2</m:t>
            </m:r>
          </m:sup>
        </m:sSup>
        <m:sSup>
          <m:sSupPr>
            <m:ctrlPr>
              <w:rPr>
                <w:sz w:val="24"/>
                <w:szCs w:val="24"/>
              </w:rPr>
            </m:ctrlPr>
          </m:sSupPr>
          <m:e>
            <m:r>
              <w:rPr>
                <w:sz w:val="24"/>
                <w:szCs w:val="24"/>
              </w:rPr>
              <m:t xml:space="preserve">c</m:t>
            </m:r>
          </m:e>
          <m:sup>
            <m:r>
              <w:rPr>
                <w:sz w:val="24"/>
                <w:szCs w:val="24"/>
              </w:rPr>
              <m:t xml:space="preserve">-1</m:t>
            </m:r>
          </m:sup>
        </m:sSup>
      </m:oMath>
      <w:r w:rsidDel="00000000" w:rsidR="00000000" w:rsidRPr="00000000">
        <w:rPr>
          <w:sz w:val="24"/>
          <w:szCs w:val="24"/>
          <w:rtl w:val="0"/>
        </w:rPr>
        <w:t xml:space="preserve"> и потенциально до </w:t>
      </w:r>
      <m:oMath>
        <m:r>
          <w:rPr>
            <w:sz w:val="24"/>
            <w:szCs w:val="24"/>
          </w:rPr>
          <m:t xml:space="preserve">7,5·</m:t>
        </m:r>
        <m:sSup>
          <m:sSupPr>
            <m:ctrlPr>
              <w:rPr>
                <w:sz w:val="24"/>
                <w:szCs w:val="24"/>
              </w:rPr>
            </m:ctrlPr>
          </m:sSupPr>
          <m:e>
            <m:r>
              <w:rPr>
                <w:sz w:val="24"/>
                <w:szCs w:val="24"/>
              </w:rPr>
              <m:t xml:space="preserve">10</m:t>
            </m:r>
          </m:e>
          <m:sup>
            <m:r>
              <w:rPr>
                <w:sz w:val="24"/>
                <w:szCs w:val="24"/>
              </w:rPr>
              <m:t xml:space="preserve">34</m:t>
            </m:r>
          </m:sup>
        </m:sSup>
        <m:sSup>
          <m:sSupPr>
            <m:ctrlPr>
              <w:rPr>
                <w:sz w:val="24"/>
                <w:szCs w:val="24"/>
              </w:rPr>
            </m:ctrlPr>
          </m:sSupPr>
          <m:e>
            <m:r>
              <w:rPr>
                <w:sz w:val="24"/>
                <w:szCs w:val="24"/>
              </w:rPr>
              <m:t xml:space="preserve">cm</m:t>
            </m:r>
          </m:e>
          <m:sup>
            <m:r>
              <w:rPr>
                <w:sz w:val="24"/>
                <w:szCs w:val="24"/>
              </w:rPr>
              <m:t xml:space="preserve">2</m:t>
            </m:r>
          </m:sup>
        </m:sSup>
        <m:sSup>
          <m:sSupPr>
            <m:ctrlPr>
              <w:rPr>
                <w:sz w:val="24"/>
                <w:szCs w:val="24"/>
              </w:rPr>
            </m:ctrlPr>
          </m:sSupPr>
          <m:e>
            <m:r>
              <w:rPr>
                <w:sz w:val="24"/>
                <w:szCs w:val="24"/>
              </w:rPr>
              <m:t xml:space="preserve">c</m:t>
            </m:r>
          </m:e>
          <m:sup>
            <m:r>
              <w:rPr>
                <w:sz w:val="24"/>
                <w:szCs w:val="24"/>
              </w:rPr>
              <m:t xml:space="preserve">-1</m:t>
            </m:r>
          </m:sup>
        </m:sSup>
      </m:oMath>
      <w:r w:rsidDel="00000000" w:rsidR="00000000" w:rsidRPr="00000000">
        <w:rPr>
          <w:sz w:val="24"/>
          <w:szCs w:val="24"/>
          <w:rtl w:val="0"/>
        </w:rPr>
        <w:t xml:space="preserve">. Интегральная светимость в режиме HL-LHC или HiLumi  составит 4000 </w:t>
      </w:r>
      <m:oMath>
        <m:sSup>
          <m:sSupPr>
            <m:ctrlPr>
              <w:rPr>
                <w:sz w:val="24"/>
                <w:szCs w:val="24"/>
              </w:rPr>
            </m:ctrlPr>
          </m:sSupPr>
          <m:e>
            <m:r>
              <w:rPr>
                <w:sz w:val="24"/>
                <w:szCs w:val="24"/>
              </w:rPr>
              <m:t xml:space="preserve">fb</m:t>
            </m:r>
          </m:e>
          <m:sup>
            <m:r>
              <w:rPr>
                <w:sz w:val="24"/>
                <w:szCs w:val="24"/>
              </w:rPr>
              <m:t xml:space="preserve">-1</m:t>
            </m:r>
          </m:sup>
        </m:sSup>
        <m:r>
          <w:rPr>
            <w:sz w:val="24"/>
            <w:szCs w:val="24"/>
          </w:rPr>
          <m:t xml:space="preserve">[1]</m:t>
        </m:r>
      </m:oMath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Увеличение светимости вызовет соразмерное увеличение радиационных нагрузок на все детекторные комплексы, работающие на LHC. По этой причине, необходима модернизация подсистем детекторов, первоначально не рассчитанных на повышенные нагрузки [2].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Была поставлена задача подробно смоделировать работу электромагнитного калориметра типа SPACAL с учетом оптических эффектов  с помощью программного комплекса GEANT4. SPACAL — это калориметр, который представляет собой цельный блок поглотителя (абсорбер), пронизанный сцинтилляционными волокнами с полным внутренним отражением,   вдоль направления развития ливня (рис.1).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4438650" cy="1459049"/>
            <wp:effectExtent b="0" l="0" r="0" t="0"/>
            <wp:docPr descr="A green and blue rectangular object&#10;&#10;Description automatically generated" id="1982744095" name="image1.png"/>
            <a:graphic>
              <a:graphicData uri="http://schemas.openxmlformats.org/drawingml/2006/picture">
                <pic:pic>
                  <pic:nvPicPr>
                    <pic:cNvPr descr="A green and blue rectangular object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459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328.0" w:type="dxa"/>
        <w:jc w:val="center"/>
        <w:tblLayout w:type="fixed"/>
        <w:tblLook w:val="0000"/>
      </w:tblPr>
      <w:tblGrid>
        <w:gridCol w:w="10065"/>
        <w:gridCol w:w="263"/>
        <w:tblGridChange w:id="0">
          <w:tblGrid>
            <w:gridCol w:w="10065"/>
            <w:gridCol w:w="263"/>
          </w:tblGrid>
        </w:tblGridChange>
      </w:tblGrid>
      <w:tr>
        <w:trPr>
          <w:cantSplit w:val="0"/>
          <w:trHeight w:val="29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ind w:left="566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Рис. 1.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4 ячейки электромагнитного калориметра типа SPACAL, объединенные световодом.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6.9291338582675" w:firstLine="566.9291338582675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6.9291338582675" w:right="217.2047244094489" w:firstLine="708.6614173228347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Размер ячейки калориметра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3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>×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3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cm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sz w:val="24"/>
                <w:szCs w:val="24"/>
                <w:rtl w:val="0"/>
              </w:rPr>
              <w:t xml:space="preserve"> вызывает определенные технические сложности, связанные с подключением электроники. Для решения этой проблемы было предложено объединить 4 ячеек SPACAL общей электронной базой, тем самым сократить количество каналов. Поэтому симметричная конструкция световода была разделена на 4 части. Это существенное изменение потребовало дополнительной оценки эффективности световода, равномерности засветки ФЭУ и вычисления энергетического разрешения калориметра.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6" w:right="358.937007874016" w:firstLine="709.590551181102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Для задач определения свойств регистрируемых частиц важно было определить ''дифференциальную'' эффективность модуля SPACAL, т.е эффективность регистрации сигнала в виде оптических фотонов, полученных от каждого из волокон. Для оценки такой эффективности использовалось отношение количества фотонов, зарегистрированных ФЭУ, к количеству фотонов, достигших конца модуля  SPACAL (на выходе из каждого отдельного волокна и, соответственно, на входе в световод).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При выборе оптимальной геометрии необходимо учитывать общую (интегральную) эффективность световода и равномерность засветки ФЭУ.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</w:rPr>
              <w:drawing>
                <wp:inline distB="0" distT="0" distL="0" distR="0">
                  <wp:extent cx="4343400" cy="1886932"/>
                  <wp:effectExtent b="0" l="0" r="0" t="0"/>
                  <wp:docPr id="198274409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886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426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6.914062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426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Рис. 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Слева: двумерное ''дифференциальное'' распределение эффективности световода в плоскости xy 4 ячеек SpaCal — 22×22. Справа: двумерное ''дифференциальное'' распределение равномерности засветки ФЭУ в плоскости xy 4 ячеек SpaCal — 22×22.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426"/>
              <w:jc w:val="center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8.6614173228347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Для каждой конфигурации геометрии световода было вычислено энергетическое разрешение калориметра. На рис.3 изображен пример зависимости энергетического разрешения от энергии первичного электрона (1-90 ГэВ).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Н</w:t>
      </w:r>
      <w:r w:rsidDel="00000000" w:rsidR="00000000" w:rsidRPr="00000000">
        <w:rPr>
          <w:sz w:val="24"/>
          <w:szCs w:val="24"/>
          <w:rtl w:val="0"/>
        </w:rPr>
        <w:t xml:space="preserve">а основание данных расчетов проведена оценка влияния неоднородности световода на энергетическое разрешения, как функция энергии налетающей частицы. Сделан вывод о нецелесообразности компоновки 4-х ячеек SPACAL под общую электронную базу.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426"/>
        <w:jc w:val="both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426"/>
        <w:jc w:val="both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426"/>
        <w:jc w:val="both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426"/>
        <w:jc w:val="center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sz w:val="22"/>
          <w:szCs w:val="22"/>
        </w:rPr>
        <w:drawing>
          <wp:inline distB="0" distT="0" distL="0" distR="0">
            <wp:extent cx="5191125" cy="1882672"/>
            <wp:effectExtent b="0" l="0" r="0" t="0"/>
            <wp:docPr id="198274409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882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426"/>
        <w:jc w:val="center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426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Рис. 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3</w:t>
      </w:r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Зависимость энергетического разрешения от энергии первичного электрона.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Слева: энергетическое разрешение для идеального световода (равномерный сигнал от каждого волокна). Справа: энергетическое разрешение для симметричного световода с основанием ФЭУ </w:t>
      </w:r>
      <m:oMath>
        <m:r>
          <w:rPr>
            <w:rFonts w:ascii="Cambria Math" w:cs="Cambria Math" w:eastAsia="Cambria Math" w:hAnsi="Cambria Math"/>
            <w:sz w:val="22"/>
            <w:szCs w:val="22"/>
          </w:rPr>
          <m:t xml:space="preserve">18</m:t>
        </m:r>
        <m:r>
          <w:rPr>
            <w:rFonts w:ascii="Cambria Math" w:cs="Cambria Math" w:eastAsia="Cambria Math" w:hAnsi="Cambria Math"/>
            <w:sz w:val="22"/>
            <w:szCs w:val="22"/>
          </w:rPr>
          <m:t>×</m:t>
        </m:r>
        <m:r>
          <w:rPr>
            <w:rFonts w:ascii="Cambria Math" w:cs="Cambria Math" w:eastAsia="Cambria Math" w:hAnsi="Cambria Math"/>
            <w:sz w:val="22"/>
            <w:szCs w:val="22"/>
          </w:rPr>
          <m:t xml:space="preserve">18 </m:t>
        </m:r>
        <m:sSup>
          <m:sSupPr>
            <m:ctrlPr>
              <w:rPr>
                <w:rFonts w:ascii="Cambria Math" w:cs="Cambria Math" w:eastAsia="Cambria Math" w:hAnsi="Cambria Math"/>
                <w:sz w:val="22"/>
                <w:szCs w:val="22"/>
              </w:rPr>
            </m:ctrlPr>
          </m:sSupPr>
          <m:e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mm</m:t>
            </m:r>
          </m:e>
          <m:sup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2</m:t>
            </m:r>
          </m:sup>
        </m:sSup>
      </m:oMath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426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826.7716535433065" w:firstLine="0"/>
        <w:jc w:val="left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Литература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283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High luminosity large hadron collider HL-LHC / G. Apollinari [и др.] //arXiv preprint arXiv:1705.08830. — 2017.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283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Schmidt B. The High-Luminosity upgrade of the LHC: Physics and Technology Challenges for the Accelerator and the Experiments // Journal of Physics: Conference Series. Т. 706. — IOP Publishing. 2016. — С. 022002.</w:t>
      </w:r>
      <w:r w:rsidDel="00000000" w:rsidR="00000000" w:rsidRPr="00000000">
        <w:rPr>
          <w:rtl w:val="0"/>
        </w:rPr>
      </w:r>
    </w:p>
    <w:sectPr>
      <w:footerReference r:id="rId11" w:type="default"/>
      <w:footerReference r:id="rId12" w:type="even"/>
      <w:pgSz w:h="16838" w:w="11906" w:orient="portrait"/>
      <w:pgMar w:bottom="1247" w:top="1134" w:left="1559.0551181102362" w:right="136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360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28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" w:customStyle="1">
    <w:name w:val="Обычный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  <w:lang w:eastAsia="ru-RU" w:val="ru-RU"/>
    </w:rPr>
  </w:style>
  <w:style w:type="paragraph" w:styleId="2" w:customStyle="1">
    <w:name w:val="Заголовок 2"/>
    <w:basedOn w:val="a"/>
    <w:next w:val="a"/>
    <w:pPr>
      <w:keepNext w:val="1"/>
      <w:pageBreakBefore w:val="1"/>
      <w:spacing w:after="120" w:line="360" w:lineRule="auto"/>
      <w:ind w:firstLine="709"/>
      <w:jc w:val="center"/>
      <w:outlineLvl w:val="1"/>
    </w:pPr>
    <w:rPr>
      <w:b w:val="1"/>
      <w:bCs w:val="1"/>
      <w:iCs w:val="1"/>
      <w:sz w:val="28"/>
      <w:szCs w:val="28"/>
    </w:rPr>
  </w:style>
  <w:style w:type="character" w:styleId="a0" w:customStyle="1">
    <w:name w:val="Основной шрифт абзаца"/>
    <w:qFormat w:val="1"/>
    <w:rPr>
      <w:w w:val="100"/>
      <w:position w:val="-1"/>
      <w:effect w:val="none"/>
      <w:vertAlign w:val="baseline"/>
      <w:cs w:val="0"/>
      <w:em w:val="none"/>
    </w:rPr>
  </w:style>
  <w:style w:type="table" w:styleId="a1" w:customStyle="1">
    <w:name w:val="Обычная таблица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customStyle="1">
    <w:name w:val="Нет списка"/>
    <w:qFormat w:val="1"/>
  </w:style>
  <w:style w:type="character" w:styleId="a3" w:customStyle="1">
    <w:name w:val="Выделение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character" w:styleId="apple-converted-space" w:customStyle="1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4" w:customStyle="1">
    <w:name w:val="Гиперссылка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5" w:customStyle="1">
    <w:name w:val="Без интервала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 w:val="ru-RU"/>
    </w:rPr>
  </w:style>
  <w:style w:type="character" w:styleId="a6" w:customStyle="1">
    <w:name w:val="Без интервала Знак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u-RU"/>
    </w:rPr>
  </w:style>
  <w:style w:type="character" w:styleId="20" w:customStyle="1">
    <w:name w:val="Заголовок 2 Знак"/>
    <w:rPr>
      <w:b w:val="1"/>
      <w:bCs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ru-RU" w:val="ru-RU"/>
    </w:rPr>
  </w:style>
  <w:style w:type="paragraph" w:styleId="a7" w:customStyle="1">
    <w:name w:val="Обычный (веб)"/>
    <w:basedOn w:val="a"/>
    <w:qFormat w:val="1"/>
    <w:pPr>
      <w:spacing w:after="100" w:afterAutospacing="1" w:before="100" w:beforeAutospacing="1"/>
    </w:pPr>
  </w:style>
  <w:style w:type="paragraph" w:styleId="a8" w:customStyle="1">
    <w:name w:val="Нижний колонтитул"/>
    <w:basedOn w:val="a"/>
  </w:style>
  <w:style w:type="character" w:styleId="a9" w:customStyle="1">
    <w:name w:val="Номер страницы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a" w:customStyle="1">
    <w:name w:val="Замещающий текст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b" w:customStyle="1">
    <w:name w:val="Абзац списка"/>
    <w:basedOn w:val="a"/>
    <w:pPr>
      <w:ind w:left="720"/>
      <w:contextualSpacing w:val="1"/>
    </w:pPr>
  </w:style>
  <w:style w:type="paragraph" w:styleId="ac" w:customStyle="1">
    <w:name w:val="Текст выноски"/>
    <w:basedOn w:val="a"/>
    <w:rPr>
      <w:rFonts w:ascii="Tahoma" w:hAnsi="Tahoma"/>
      <w:sz w:val="16"/>
      <w:szCs w:val="16"/>
      <w:lang/>
    </w:rPr>
  </w:style>
  <w:style w:type="character" w:styleId="ad" w:customStyle="1">
    <w:name w:val="Текст выноски Знак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e" w:customStyle="1">
    <w:name w:val="Верхний колонтитул"/>
    <w:basedOn w:val="a"/>
    <w:qFormat w:val="1"/>
    <w:pPr>
      <w:tabs>
        <w:tab w:val="center" w:pos="4677"/>
        <w:tab w:val="right" w:pos="9355"/>
      </w:tabs>
    </w:pPr>
  </w:style>
  <w:style w:type="character" w:styleId="af" w:customStyle="1">
    <w:name w:val="Верхний колонтитул Знак"/>
    <w:basedOn w:val="a0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f0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12" Type="http://schemas.openxmlformats.org/officeDocument/2006/relationships/footer" Target="footer2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guliaeva.vv19@physics.msu.ru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5vgLV6f+HnotSPxVjI0ZXnBzsg==">CgMxLjA4AHIhMXNWWU9oZEVWcGd2akJfZGhfYWVad2lOWEYtRVRPd1BV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2024-02-16T11:58:00Z</dcterms:created>
  <dc:creator>PR</dc:creator>
</cp:coreProperties>
</file>