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C57" w:rsidRPr="00785C57" w:rsidRDefault="00785C57" w:rsidP="00785C57">
      <w:pPr>
        <w:jc w:val="center"/>
        <w:rPr>
          <w:rFonts w:eastAsia="Calibri"/>
          <w:b/>
          <w:kern w:val="2"/>
          <w:lang w:eastAsia="en-US"/>
          <w14:ligatures w14:val="standardContextual"/>
        </w:rPr>
      </w:pPr>
      <w:r w:rsidRPr="00785C57">
        <w:rPr>
          <w:rFonts w:eastAsia="Calibri"/>
          <w:b/>
          <w:kern w:val="2"/>
          <w:lang w:eastAsia="en-US"/>
          <w14:ligatures w14:val="standardContextual"/>
        </w:rPr>
        <w:t>Методы продления топливной кампании в тепловых реакторах с использованием циркониевых стержней-вытеснителей</w:t>
      </w:r>
    </w:p>
    <w:p w:rsidR="00785C57" w:rsidRPr="00785C57" w:rsidRDefault="00785C57" w:rsidP="00785C57">
      <w:pPr>
        <w:jc w:val="center"/>
        <w:rPr>
          <w:rFonts w:eastAsia="Calibri"/>
          <w:b/>
          <w:bCs/>
          <w:i/>
          <w:iCs/>
          <w:kern w:val="2"/>
          <w:lang w:eastAsia="en-US"/>
          <w14:ligatures w14:val="standardContextual"/>
        </w:rPr>
      </w:pPr>
      <w:r w:rsidRPr="00785C57">
        <w:rPr>
          <w:rFonts w:eastAsia="Calibri"/>
          <w:b/>
          <w:bCs/>
          <w:i/>
          <w:iCs/>
          <w:kern w:val="2"/>
          <w:lang w:eastAsia="en-US"/>
          <w14:ligatures w14:val="standardContextual"/>
        </w:rPr>
        <w:t>Воронцова А.А.</w:t>
      </w:r>
      <w:r w:rsidRPr="00785C57">
        <w:rPr>
          <w:rFonts w:eastAsia="Calibri"/>
          <w:b/>
          <w:bCs/>
          <w:kern w:val="2"/>
          <w:vertAlign w:val="superscript"/>
          <w:lang w:eastAsia="en-US"/>
          <w14:ligatures w14:val="standardContextual"/>
        </w:rPr>
        <w:t>1</w:t>
      </w:r>
      <w:r w:rsidRPr="00785C57">
        <w:rPr>
          <w:rFonts w:eastAsia="Calibri"/>
          <w:b/>
          <w:bCs/>
          <w:i/>
          <w:iCs/>
          <w:kern w:val="2"/>
          <w:lang w:eastAsia="en-US"/>
          <w14:ligatures w14:val="standardContextual"/>
        </w:rPr>
        <w:t>, Внуков Р.А.</w:t>
      </w:r>
      <w:r w:rsidRPr="00785C57">
        <w:rPr>
          <w:rFonts w:eastAsia="Calibri"/>
          <w:b/>
          <w:bCs/>
          <w:kern w:val="2"/>
          <w:vertAlign w:val="superscript"/>
          <w:lang w:eastAsia="en-US"/>
          <w14:ligatures w14:val="standardContextual"/>
        </w:rPr>
        <w:t>2</w:t>
      </w:r>
    </w:p>
    <w:p w:rsidR="00785C57" w:rsidRPr="00785C57" w:rsidRDefault="00785C57" w:rsidP="00785C57">
      <w:pPr>
        <w:ind w:firstLine="426"/>
        <w:jc w:val="center"/>
        <w:rPr>
          <w:i/>
          <w:iCs/>
          <w:color w:val="000000"/>
          <w:shd w:val="clear" w:color="auto" w:fill="FFFFFF"/>
        </w:rPr>
      </w:pPr>
      <w:r w:rsidRPr="00785C57">
        <w:rPr>
          <w:bCs/>
          <w:iCs/>
          <w:color w:val="000000"/>
          <w:shd w:val="clear" w:color="auto" w:fill="FFFFFF"/>
          <w:vertAlign w:val="superscript"/>
        </w:rPr>
        <w:t>1</w:t>
      </w:r>
      <w:r w:rsidRPr="00785C57">
        <w:rPr>
          <w:i/>
          <w:iCs/>
          <w:color w:val="000000"/>
          <w:shd w:val="clear" w:color="auto" w:fill="FFFFFF"/>
        </w:rPr>
        <w:t>студент,</w:t>
      </w:r>
      <w:r w:rsidRPr="00785C57">
        <w:rPr>
          <w:i/>
          <w:color w:val="000000"/>
          <w:shd w:val="clear" w:color="auto" w:fill="FFFFFF"/>
        </w:rPr>
        <w:t xml:space="preserve"> </w:t>
      </w:r>
      <w:r w:rsidRPr="00785C57">
        <w:rPr>
          <w:bCs/>
          <w:iCs/>
          <w:color w:val="000000"/>
          <w:shd w:val="clear" w:color="auto" w:fill="FFFFFF"/>
          <w:vertAlign w:val="superscript"/>
        </w:rPr>
        <w:t>2</w:t>
      </w:r>
      <w:r w:rsidRPr="00785C57">
        <w:rPr>
          <w:i/>
          <w:color w:val="000000"/>
          <w:shd w:val="clear" w:color="auto" w:fill="FFFFFF"/>
        </w:rPr>
        <w:t>аспирант</w:t>
      </w:r>
    </w:p>
    <w:p w:rsidR="00785C57" w:rsidRDefault="00785C57" w:rsidP="00785C57">
      <w:pPr>
        <w:ind w:firstLine="426"/>
        <w:jc w:val="center"/>
        <w:rPr>
          <w:i/>
          <w:iCs/>
          <w:color w:val="000000"/>
          <w:shd w:val="clear" w:color="auto" w:fill="FFFFFF"/>
          <w:lang w:val="en-US"/>
        </w:rPr>
      </w:pPr>
      <w:r w:rsidRPr="00785C57">
        <w:rPr>
          <w:i/>
          <w:iCs/>
          <w:color w:val="000000"/>
          <w:shd w:val="clear" w:color="auto" w:fill="FFFFFF"/>
        </w:rPr>
        <w:t>ИАТЭ НИЯУ МИФИ, Обнинск, Россия</w:t>
      </w:r>
      <w:r w:rsidRPr="00785C57">
        <w:rPr>
          <w:i/>
          <w:iCs/>
          <w:color w:val="000000"/>
          <w:shd w:val="clear" w:color="auto" w:fill="FFFFFF"/>
        </w:rPr>
        <w:br/>
        <w:t>E–</w:t>
      </w:r>
      <w:proofErr w:type="spellStart"/>
      <w:r w:rsidRPr="00785C57">
        <w:rPr>
          <w:i/>
          <w:iCs/>
          <w:color w:val="000000"/>
          <w:shd w:val="clear" w:color="auto" w:fill="FFFFFF"/>
        </w:rPr>
        <w:t>mail</w:t>
      </w:r>
      <w:proofErr w:type="spellEnd"/>
      <w:r w:rsidRPr="00785C57">
        <w:rPr>
          <w:iCs/>
          <w:color w:val="000000"/>
          <w:shd w:val="clear" w:color="auto" w:fill="FFFFFF"/>
        </w:rPr>
        <w:t xml:space="preserve">: </w:t>
      </w:r>
      <w:hyperlink r:id="rId8" w:history="1">
        <w:r w:rsidRPr="00785C57">
          <w:rPr>
            <w:i/>
            <w:iCs/>
            <w:color w:val="0563C1" w:themeColor="hyperlink"/>
            <w:u w:val="single"/>
            <w:shd w:val="clear" w:color="auto" w:fill="FFFFFF"/>
            <w:lang w:val="en-US"/>
          </w:rPr>
          <w:t>paradisecitymake</w:t>
        </w:r>
        <w:r w:rsidRPr="00785C57">
          <w:rPr>
            <w:i/>
            <w:iCs/>
            <w:color w:val="0563C1" w:themeColor="hyperlink"/>
            <w:u w:val="single"/>
            <w:shd w:val="clear" w:color="auto" w:fill="FFFFFF"/>
          </w:rPr>
          <w:t>@</w:t>
        </w:r>
        <w:r w:rsidRPr="00785C57">
          <w:rPr>
            <w:i/>
            <w:iCs/>
            <w:color w:val="0563C1" w:themeColor="hyperlink"/>
            <w:u w:val="single"/>
            <w:shd w:val="clear" w:color="auto" w:fill="FFFFFF"/>
            <w:lang w:val="en-US"/>
          </w:rPr>
          <w:t>gmail</w:t>
        </w:r>
        <w:r w:rsidRPr="00785C57">
          <w:rPr>
            <w:i/>
            <w:iCs/>
            <w:color w:val="0563C1" w:themeColor="hyperlink"/>
            <w:u w:val="single"/>
            <w:shd w:val="clear" w:color="auto" w:fill="FFFFFF"/>
          </w:rPr>
          <w:t>.</w:t>
        </w:r>
        <w:r w:rsidRPr="00785C57">
          <w:rPr>
            <w:i/>
            <w:iCs/>
            <w:color w:val="0563C1" w:themeColor="hyperlink"/>
            <w:u w:val="single"/>
            <w:shd w:val="clear" w:color="auto" w:fill="FFFFFF"/>
            <w:lang w:val="en-US"/>
          </w:rPr>
          <w:t>com</w:t>
        </w:r>
      </w:hyperlink>
    </w:p>
    <w:p w:rsidR="00785C57" w:rsidRPr="00785C57" w:rsidRDefault="00785C57" w:rsidP="00785C57">
      <w:pPr>
        <w:ind w:firstLine="426"/>
        <w:jc w:val="center"/>
        <w:rPr>
          <w:i/>
          <w:iCs/>
          <w:color w:val="000000"/>
          <w:shd w:val="clear" w:color="auto" w:fill="FFFFFF"/>
        </w:rPr>
      </w:pPr>
    </w:p>
    <w:p w:rsidR="00785C57" w:rsidRDefault="00785C57" w:rsidP="00785C57">
      <w:pPr>
        <w:ind w:firstLine="397"/>
        <w:jc w:val="both"/>
      </w:pPr>
      <w:r w:rsidRPr="00785C57">
        <w:t>Настоящая работа посвящена исследованию возможности продления топливной кампании в тепловых реакторах с реализацией одного из способов спектрального регулирования – изменение водо-уранового соотношения при помощи стержней-вытеснителей</w:t>
      </w:r>
      <w:r w:rsidR="002133D7">
        <w:t xml:space="preserve"> [1</w:t>
      </w:r>
      <w:r w:rsidR="002133D7" w:rsidRPr="002133D7">
        <w:t>]</w:t>
      </w:r>
      <w:r w:rsidRPr="00785C57">
        <w:t xml:space="preserve">. Для этого была построена модель ТВС, схожая с существующей в ВВЭР-1200 (рисунок 1). </w:t>
      </w:r>
    </w:p>
    <w:p w:rsidR="00011E41" w:rsidRPr="00613B5D" w:rsidRDefault="00011E41" w:rsidP="00011E41">
      <w:pPr>
        <w:ind w:firstLine="397"/>
        <w:jc w:val="both"/>
        <w:rPr>
          <w:iCs/>
        </w:rPr>
      </w:pPr>
      <w:bookmarkStart w:id="0" w:name="_GoBack"/>
      <w:bookmarkEnd w:id="0"/>
    </w:p>
    <w:tbl>
      <w:tblPr>
        <w:tblW w:w="10328" w:type="dxa"/>
        <w:jc w:val="center"/>
        <w:tblLayout w:type="fixed"/>
        <w:tblLook w:val="04A0" w:firstRow="1" w:lastRow="0" w:firstColumn="1" w:lastColumn="0" w:noHBand="0" w:noVBand="1"/>
      </w:tblPr>
      <w:tblGrid>
        <w:gridCol w:w="15"/>
        <w:gridCol w:w="10050"/>
        <w:gridCol w:w="263"/>
      </w:tblGrid>
      <w:tr w:rsidR="00813C9E" w:rsidRPr="00F670FD" w:rsidTr="00442D0A">
        <w:trPr>
          <w:gridBefore w:val="1"/>
          <w:wBefore w:w="15" w:type="dxa"/>
          <w:trHeight w:val="2985"/>
          <w:jc w:val="center"/>
        </w:trPr>
        <w:tc>
          <w:tcPr>
            <w:tcW w:w="10050" w:type="dxa"/>
            <w:shd w:val="clear" w:color="auto" w:fill="auto"/>
            <w:vAlign w:val="center"/>
          </w:tcPr>
          <w:p w:rsidR="00A318C8" w:rsidRDefault="00A318C8" w:rsidP="00A318C8">
            <w:pPr>
              <w:rPr>
                <w:noProof/>
              </w:rPr>
            </w:pPr>
          </w:p>
          <w:p w:rsidR="00813C9E" w:rsidRPr="00A659DC" w:rsidRDefault="00785C57" w:rsidP="00A318C8">
            <w:pPr>
              <w:ind w:firstLine="426"/>
              <w:jc w:val="center"/>
            </w:pPr>
            <w:r>
              <w:rPr>
                <w:noProof/>
              </w:rPr>
              <w:drawing>
                <wp:inline distT="0" distB="0" distL="0" distR="0" wp14:anchorId="02FAD5A6" wp14:editId="6BE2EFC2">
                  <wp:extent cx="5023485" cy="2882900"/>
                  <wp:effectExtent l="0" t="0" r="571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/>
                          <a:srcRect b="6196"/>
                          <a:stretch/>
                        </pic:blipFill>
                        <pic:spPr bwMode="auto">
                          <a:xfrm>
                            <a:off x="0" y="0"/>
                            <a:ext cx="5058320" cy="29028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" w:type="dxa"/>
          </w:tcPr>
          <w:p w:rsidR="00813C9E" w:rsidRPr="00A659DC" w:rsidRDefault="00813C9E" w:rsidP="00011E41">
            <w:pPr>
              <w:ind w:firstLine="426"/>
            </w:pPr>
          </w:p>
        </w:tc>
      </w:tr>
      <w:tr w:rsidR="00813C9E" w:rsidRPr="00F670FD" w:rsidTr="00442D0A">
        <w:trPr>
          <w:trHeight w:val="363"/>
          <w:jc w:val="center"/>
        </w:trPr>
        <w:tc>
          <w:tcPr>
            <w:tcW w:w="10328" w:type="dxa"/>
            <w:gridSpan w:val="3"/>
            <w:shd w:val="clear" w:color="auto" w:fill="auto"/>
            <w:vAlign w:val="center"/>
          </w:tcPr>
          <w:p w:rsidR="00813C9E" w:rsidRPr="003336B0" w:rsidRDefault="00813C9E" w:rsidP="00011E41">
            <w:pPr>
              <w:ind w:firstLine="426"/>
              <w:jc w:val="center"/>
              <w:rPr>
                <w:sz w:val="22"/>
                <w:szCs w:val="22"/>
              </w:rPr>
            </w:pPr>
            <w:r w:rsidRPr="002700F0">
              <w:rPr>
                <w:b/>
                <w:i/>
                <w:sz w:val="22"/>
                <w:szCs w:val="22"/>
              </w:rPr>
              <w:t>Рис. 1.</w:t>
            </w:r>
            <w:r w:rsidRPr="002700F0">
              <w:rPr>
                <w:sz w:val="22"/>
                <w:szCs w:val="22"/>
              </w:rPr>
              <w:t xml:space="preserve"> </w:t>
            </w:r>
            <w:r w:rsidR="00785C57" w:rsidRPr="00785C57">
              <w:rPr>
                <w:sz w:val="22"/>
                <w:szCs w:val="22"/>
              </w:rPr>
              <w:t>Модель, использующаяся в расчетах</w:t>
            </w:r>
          </w:p>
        </w:tc>
      </w:tr>
    </w:tbl>
    <w:p w:rsidR="00813C9E" w:rsidRDefault="00813C9E" w:rsidP="00011E41">
      <w:pPr>
        <w:ind w:firstLine="426"/>
        <w:jc w:val="center"/>
      </w:pPr>
    </w:p>
    <w:p w:rsidR="00785C57" w:rsidRPr="002133D7" w:rsidRDefault="00785C57" w:rsidP="00233643">
      <w:pPr>
        <w:ind w:firstLine="397"/>
        <w:jc w:val="both"/>
        <w:rPr>
          <w:color w:val="000000"/>
          <w:lang w:val="en-US"/>
        </w:rPr>
      </w:pPr>
      <w:r w:rsidRPr="00785C57">
        <w:rPr>
          <w:color w:val="000000"/>
        </w:rPr>
        <w:t>Рассматривается влияние введения в структуру ТВС реактора ВВЭР-1200 стержней-вытеснителей, выполненных из циркония, на нейтронно-физические характеристики: плотностной эффект реактивности, доплеровский эффект реактивности, доля запаздывающих нейтронов, коэффициент воспроизводства топлива. Стержни с варьируемым диаметром (0-2,5мм) меняют по мере достижения концентрации борной кислоты в теплоносителе 0 г/кг</w:t>
      </w:r>
      <w:r w:rsidR="000D661B">
        <w:rPr>
          <w:color w:val="000000"/>
        </w:rPr>
        <w:t>.</w:t>
      </w:r>
      <w:r w:rsidR="002133D7" w:rsidRPr="002133D7">
        <w:rPr>
          <w:color w:val="000000"/>
        </w:rPr>
        <w:t xml:space="preserve"> </w:t>
      </w:r>
      <w:r w:rsidR="002133D7">
        <w:rPr>
          <w:color w:val="000000"/>
        </w:rPr>
        <w:t xml:space="preserve">Моделирование осуществляется в программном комплексе </w:t>
      </w:r>
      <w:r w:rsidR="002133D7">
        <w:rPr>
          <w:color w:val="000000"/>
          <w:lang w:val="en-US"/>
        </w:rPr>
        <w:t>Serpent [2].</w:t>
      </w:r>
    </w:p>
    <w:p w:rsidR="000D661B" w:rsidRDefault="000D661B" w:rsidP="00233643">
      <w:pPr>
        <w:ind w:firstLine="397"/>
        <w:jc w:val="both"/>
        <w:rPr>
          <w:color w:val="000000"/>
        </w:rPr>
      </w:pPr>
      <w:r>
        <w:rPr>
          <w:color w:val="000000"/>
        </w:rPr>
        <w:t xml:space="preserve">Результаты изменения коэффициента воспроизводства </w:t>
      </w:r>
      <w:proofErr w:type="gramStart"/>
      <w:r>
        <w:rPr>
          <w:color w:val="000000"/>
        </w:rPr>
        <w:t>при различном размерах</w:t>
      </w:r>
      <w:proofErr w:type="gramEnd"/>
      <w:r>
        <w:rPr>
          <w:color w:val="000000"/>
        </w:rPr>
        <w:t xml:space="preserve"> вытеснителей в </w:t>
      </w:r>
      <w:proofErr w:type="spellStart"/>
      <w:r>
        <w:rPr>
          <w:color w:val="000000"/>
        </w:rPr>
        <w:t>межтвэльных</w:t>
      </w:r>
      <w:proofErr w:type="spellEnd"/>
      <w:r>
        <w:rPr>
          <w:color w:val="000000"/>
        </w:rPr>
        <w:t xml:space="preserve"> зазорах представлены на рисунке 2.</w:t>
      </w:r>
    </w:p>
    <w:p w:rsidR="00233643" w:rsidRDefault="00233643" w:rsidP="00233643">
      <w:pPr>
        <w:ind w:firstLine="397"/>
        <w:jc w:val="both"/>
        <w:rPr>
          <w:color w:val="000000"/>
        </w:rPr>
      </w:pPr>
    </w:p>
    <w:tbl>
      <w:tblPr>
        <w:tblW w:w="10328" w:type="dxa"/>
        <w:jc w:val="center"/>
        <w:tblLayout w:type="fixed"/>
        <w:tblLook w:val="04A0" w:firstRow="1" w:lastRow="0" w:firstColumn="1" w:lastColumn="0" w:noHBand="0" w:noVBand="1"/>
      </w:tblPr>
      <w:tblGrid>
        <w:gridCol w:w="15"/>
        <w:gridCol w:w="10050"/>
        <w:gridCol w:w="263"/>
      </w:tblGrid>
      <w:tr w:rsidR="00233643" w:rsidRPr="00A659DC" w:rsidTr="000D661B">
        <w:trPr>
          <w:gridBefore w:val="1"/>
          <w:gridAfter w:val="1"/>
          <w:wBefore w:w="15" w:type="dxa"/>
          <w:wAfter w:w="263" w:type="dxa"/>
          <w:trHeight w:val="2985"/>
          <w:jc w:val="center"/>
        </w:trPr>
        <w:tc>
          <w:tcPr>
            <w:tcW w:w="10050" w:type="dxa"/>
            <w:shd w:val="clear" w:color="auto" w:fill="auto"/>
            <w:vAlign w:val="center"/>
          </w:tcPr>
          <w:p w:rsidR="00233643" w:rsidRDefault="00233643" w:rsidP="00512172">
            <w:pPr>
              <w:rPr>
                <w:noProof/>
              </w:rPr>
            </w:pPr>
          </w:p>
          <w:p w:rsidR="00233643" w:rsidRPr="00A659DC" w:rsidRDefault="000D661B" w:rsidP="00512172">
            <w:pPr>
              <w:ind w:firstLine="426"/>
              <w:jc w:val="center"/>
            </w:pPr>
            <w:r>
              <w:rPr>
                <w:noProof/>
              </w:rPr>
              <w:drawing>
                <wp:inline distT="0" distB="0" distL="0" distR="0" wp14:anchorId="4A254964" wp14:editId="137D5FE4">
                  <wp:extent cx="4572000" cy="2832100"/>
                  <wp:effectExtent l="0" t="0" r="0" b="6350"/>
                  <wp:docPr id="7" name="Диаграмма 7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</w:tc>
      </w:tr>
      <w:tr w:rsidR="00233643" w:rsidRPr="003336B0" w:rsidTr="00512172">
        <w:trPr>
          <w:trHeight w:val="363"/>
          <w:jc w:val="center"/>
        </w:trPr>
        <w:tc>
          <w:tcPr>
            <w:tcW w:w="10328" w:type="dxa"/>
            <w:gridSpan w:val="3"/>
            <w:shd w:val="clear" w:color="auto" w:fill="auto"/>
            <w:vAlign w:val="center"/>
          </w:tcPr>
          <w:p w:rsidR="00233643" w:rsidRPr="003336B0" w:rsidRDefault="00233643" w:rsidP="000D661B">
            <w:pPr>
              <w:ind w:firstLine="426"/>
              <w:jc w:val="center"/>
              <w:rPr>
                <w:sz w:val="22"/>
                <w:szCs w:val="22"/>
              </w:rPr>
            </w:pPr>
            <w:r w:rsidRPr="002700F0">
              <w:rPr>
                <w:b/>
                <w:i/>
                <w:sz w:val="22"/>
                <w:szCs w:val="22"/>
              </w:rPr>
              <w:t>Рис. </w:t>
            </w:r>
            <w:r w:rsidR="000D6A06">
              <w:rPr>
                <w:b/>
                <w:i/>
                <w:sz w:val="22"/>
                <w:szCs w:val="22"/>
              </w:rPr>
              <w:t>2</w:t>
            </w:r>
            <w:r w:rsidRPr="002700F0">
              <w:rPr>
                <w:b/>
                <w:i/>
                <w:sz w:val="22"/>
                <w:szCs w:val="22"/>
              </w:rPr>
              <w:t>.</w:t>
            </w:r>
            <w:r w:rsidRPr="002700F0">
              <w:rPr>
                <w:sz w:val="22"/>
                <w:szCs w:val="22"/>
              </w:rPr>
              <w:t xml:space="preserve"> </w:t>
            </w:r>
            <w:r w:rsidR="000D661B">
              <w:rPr>
                <w:sz w:val="22"/>
                <w:szCs w:val="22"/>
              </w:rPr>
              <w:t>Коэффициент воспроизводства при различном размере вытеснителя в начале топливной кампании</w:t>
            </w:r>
          </w:p>
        </w:tc>
      </w:tr>
    </w:tbl>
    <w:p w:rsidR="00233643" w:rsidRPr="00233643" w:rsidRDefault="00233643" w:rsidP="00233643">
      <w:pPr>
        <w:ind w:firstLine="397"/>
        <w:jc w:val="both"/>
        <w:rPr>
          <w:color w:val="000000"/>
        </w:rPr>
      </w:pPr>
    </w:p>
    <w:p w:rsidR="004F0E58" w:rsidRPr="002133D7" w:rsidRDefault="000D661B" w:rsidP="002133D7">
      <w:pPr>
        <w:ind w:firstLine="397"/>
        <w:jc w:val="both"/>
        <w:rPr>
          <w:color w:val="000000"/>
        </w:rPr>
      </w:pPr>
      <w:r>
        <w:rPr>
          <w:color w:val="000000"/>
        </w:rPr>
        <w:t>Очевиден рост КВ: он объясняется ужесточением спектра и смещением</w:t>
      </w:r>
      <w:r w:rsidR="002133D7">
        <w:rPr>
          <w:color w:val="000000"/>
        </w:rPr>
        <w:t xml:space="preserve"> в резонансную область. За счет этого растет радиационный захват на ядрах урана-238.</w:t>
      </w:r>
      <w:r>
        <w:rPr>
          <w:color w:val="000000"/>
        </w:rPr>
        <w:t xml:space="preserve"> </w:t>
      </w:r>
      <w:r w:rsidR="002133D7">
        <w:rPr>
          <w:color w:val="000000"/>
        </w:rPr>
        <w:t>Кроме того, р</w:t>
      </w:r>
      <w:r w:rsidRPr="000D661B">
        <w:rPr>
          <w:color w:val="000000"/>
        </w:rPr>
        <w:t xml:space="preserve">асчет влияния радиуса вытеснителей на </w:t>
      </w:r>
      <w:proofErr w:type="spellStart"/>
      <w:r>
        <w:rPr>
          <w:color w:val="000000"/>
        </w:rPr>
        <w:t>К</w:t>
      </w:r>
      <w:r w:rsidRPr="000D661B">
        <w:rPr>
          <w:color w:val="000000"/>
        </w:rPr>
        <w:t>беск</w:t>
      </w:r>
      <w:proofErr w:type="spellEnd"/>
      <w:r w:rsidRPr="000D661B">
        <w:rPr>
          <w:color w:val="000000"/>
        </w:rPr>
        <w:t xml:space="preserve"> показал, что увелич</w:t>
      </w:r>
      <w:r>
        <w:rPr>
          <w:color w:val="000000"/>
        </w:rPr>
        <w:t>ение радиуса приводит к уменьше</w:t>
      </w:r>
      <w:r w:rsidRPr="000D661B">
        <w:rPr>
          <w:color w:val="000000"/>
        </w:rPr>
        <w:t xml:space="preserve">нию </w:t>
      </w:r>
      <w:proofErr w:type="spellStart"/>
      <w:r>
        <w:rPr>
          <w:color w:val="000000"/>
        </w:rPr>
        <w:t>К</w:t>
      </w:r>
      <w:r w:rsidRPr="000D661B">
        <w:rPr>
          <w:color w:val="000000"/>
        </w:rPr>
        <w:t>беск</w:t>
      </w:r>
      <w:proofErr w:type="spellEnd"/>
      <w:r w:rsidRPr="000D661B">
        <w:rPr>
          <w:color w:val="000000"/>
        </w:rPr>
        <w:t>, при этом компенсация растет нелинейно</w:t>
      </w:r>
      <w:r>
        <w:rPr>
          <w:color w:val="000000"/>
        </w:rPr>
        <w:t>.</w:t>
      </w:r>
    </w:p>
    <w:p w:rsidR="001C65A7" w:rsidRDefault="001C65A7" w:rsidP="00011E41">
      <w:pPr>
        <w:ind w:firstLine="426"/>
        <w:jc w:val="both"/>
        <w:rPr>
          <w:b/>
        </w:rPr>
      </w:pPr>
    </w:p>
    <w:p w:rsidR="001942D4" w:rsidRPr="00057723" w:rsidRDefault="00813C9E" w:rsidP="00011E41">
      <w:pPr>
        <w:ind w:firstLine="426"/>
        <w:jc w:val="center"/>
        <w:rPr>
          <w:b/>
        </w:rPr>
      </w:pPr>
      <w:r w:rsidRPr="00825453">
        <w:rPr>
          <w:b/>
          <w:color w:val="000000"/>
          <w:shd w:val="clear" w:color="auto" w:fill="FFFFFF"/>
        </w:rPr>
        <w:t>Литература</w:t>
      </w:r>
    </w:p>
    <w:p w:rsidR="002133D7" w:rsidRPr="002133D7" w:rsidRDefault="002133D7" w:rsidP="002133D7">
      <w:pPr>
        <w:pStyle w:val="ab"/>
        <w:numPr>
          <w:ilvl w:val="0"/>
          <w:numId w:val="6"/>
        </w:numPr>
        <w:ind w:left="709" w:hanging="283"/>
        <w:jc w:val="both"/>
        <w:rPr>
          <w:i/>
          <w:color w:val="000000"/>
          <w:szCs w:val="20"/>
        </w:rPr>
      </w:pPr>
      <w:proofErr w:type="spellStart"/>
      <w:r w:rsidRPr="002133D7">
        <w:t>Элазака</w:t>
      </w:r>
      <w:proofErr w:type="spellEnd"/>
      <w:r w:rsidRPr="002133D7">
        <w:t xml:space="preserve"> А. Методики спектрального регулирования в реакторах с водой под давлением: </w:t>
      </w:r>
      <w:proofErr w:type="spellStart"/>
      <w:r w:rsidRPr="002133D7">
        <w:t>дис</w:t>
      </w:r>
      <w:proofErr w:type="spellEnd"/>
      <w:r w:rsidRPr="002133D7">
        <w:t xml:space="preserve">. канд. </w:t>
      </w:r>
      <w:proofErr w:type="spellStart"/>
      <w:r w:rsidRPr="002133D7">
        <w:t>техн</w:t>
      </w:r>
      <w:proofErr w:type="spellEnd"/>
      <w:r w:rsidRPr="002133D7">
        <w:t>. наук: 05.14.03. – НИЯУ МИФИ, Москва, 2022 – 180 с.</w:t>
      </w:r>
    </w:p>
    <w:p w:rsidR="002133D7" w:rsidRPr="002133D7" w:rsidRDefault="002133D7" w:rsidP="002133D7">
      <w:pPr>
        <w:pStyle w:val="ab"/>
        <w:numPr>
          <w:ilvl w:val="0"/>
          <w:numId w:val="6"/>
        </w:numPr>
        <w:ind w:left="709" w:hanging="283"/>
        <w:jc w:val="both"/>
        <w:rPr>
          <w:i/>
          <w:color w:val="000000"/>
          <w:szCs w:val="20"/>
          <w:lang w:val="en-US"/>
        </w:rPr>
      </w:pPr>
      <w:r w:rsidRPr="000D6A06">
        <w:rPr>
          <w:color w:val="000000"/>
          <w:szCs w:val="20"/>
          <w:lang w:val="en-US"/>
        </w:rPr>
        <w:t>J</w:t>
      </w:r>
      <w:r w:rsidRPr="002133D7">
        <w:rPr>
          <w:color w:val="000000"/>
          <w:szCs w:val="20"/>
          <w:lang w:val="en-US"/>
        </w:rPr>
        <w:t>.</w:t>
      </w:r>
      <w:r w:rsidRPr="002133D7">
        <w:rPr>
          <w:lang w:val="en-US"/>
        </w:rPr>
        <w:t xml:space="preserve"> </w:t>
      </w:r>
      <w:proofErr w:type="spellStart"/>
      <w:r w:rsidRPr="000D6A06">
        <w:rPr>
          <w:lang w:val="en-US"/>
        </w:rPr>
        <w:t>Lepp</w:t>
      </w:r>
      <w:r w:rsidRPr="002133D7">
        <w:rPr>
          <w:lang w:val="en-US"/>
        </w:rPr>
        <w:t>ä</w:t>
      </w:r>
      <w:r w:rsidRPr="000D6A06">
        <w:rPr>
          <w:lang w:val="en-US"/>
        </w:rPr>
        <w:t>nen</w:t>
      </w:r>
      <w:proofErr w:type="spellEnd"/>
      <w:r w:rsidRPr="002133D7">
        <w:rPr>
          <w:lang w:val="en-US"/>
        </w:rPr>
        <w:t xml:space="preserve">. </w:t>
      </w:r>
      <w:r w:rsidRPr="000D6A06">
        <w:rPr>
          <w:lang w:val="en-US"/>
        </w:rPr>
        <w:t>PSG</w:t>
      </w:r>
      <w:r w:rsidRPr="002133D7">
        <w:rPr>
          <w:lang w:val="en-US"/>
        </w:rPr>
        <w:t xml:space="preserve">2 / </w:t>
      </w:r>
      <w:r w:rsidRPr="000D6A06">
        <w:rPr>
          <w:lang w:val="en-US"/>
        </w:rPr>
        <w:t>Serpent</w:t>
      </w:r>
      <w:r w:rsidRPr="002133D7">
        <w:rPr>
          <w:lang w:val="en-US"/>
        </w:rPr>
        <w:t xml:space="preserve"> – </w:t>
      </w:r>
      <w:r w:rsidRPr="000D6A06">
        <w:rPr>
          <w:lang w:val="en-US"/>
        </w:rPr>
        <w:t>a</w:t>
      </w:r>
      <w:r w:rsidRPr="002133D7">
        <w:rPr>
          <w:lang w:val="en-US"/>
        </w:rPr>
        <w:t xml:space="preserve"> </w:t>
      </w:r>
      <w:r w:rsidRPr="000D6A06">
        <w:rPr>
          <w:lang w:val="en-US"/>
        </w:rPr>
        <w:t>Continuous</w:t>
      </w:r>
      <w:r w:rsidRPr="002133D7">
        <w:rPr>
          <w:lang w:val="en-US"/>
        </w:rPr>
        <w:t>-</w:t>
      </w:r>
      <w:r w:rsidRPr="000D6A06">
        <w:rPr>
          <w:lang w:val="en-US"/>
        </w:rPr>
        <w:t>energy</w:t>
      </w:r>
      <w:r w:rsidRPr="002133D7">
        <w:rPr>
          <w:lang w:val="en-US"/>
        </w:rPr>
        <w:t xml:space="preserve"> </w:t>
      </w:r>
      <w:r w:rsidRPr="000D6A06">
        <w:rPr>
          <w:lang w:val="en-US"/>
        </w:rPr>
        <w:t>Monte</w:t>
      </w:r>
      <w:r w:rsidRPr="002133D7">
        <w:rPr>
          <w:lang w:val="en-US"/>
        </w:rPr>
        <w:t xml:space="preserve"> </w:t>
      </w:r>
      <w:r w:rsidRPr="000D6A06">
        <w:rPr>
          <w:lang w:val="en-US"/>
        </w:rPr>
        <w:t>Carlo</w:t>
      </w:r>
      <w:r w:rsidRPr="002133D7">
        <w:rPr>
          <w:lang w:val="en-US"/>
        </w:rPr>
        <w:t xml:space="preserve"> </w:t>
      </w:r>
      <w:r w:rsidRPr="000D6A06">
        <w:rPr>
          <w:lang w:val="en-US"/>
        </w:rPr>
        <w:t>Reactor</w:t>
      </w:r>
      <w:r w:rsidRPr="002133D7">
        <w:rPr>
          <w:lang w:val="en-US"/>
        </w:rPr>
        <w:t xml:space="preserve"> </w:t>
      </w:r>
      <w:r w:rsidRPr="000D6A06">
        <w:rPr>
          <w:lang w:val="en-US"/>
        </w:rPr>
        <w:t>Physics</w:t>
      </w:r>
      <w:r w:rsidRPr="002133D7">
        <w:rPr>
          <w:lang w:val="en-US"/>
        </w:rPr>
        <w:t xml:space="preserve"> </w:t>
      </w:r>
      <w:r w:rsidRPr="000D6A06">
        <w:rPr>
          <w:lang w:val="en-US"/>
        </w:rPr>
        <w:t>Burnup</w:t>
      </w:r>
      <w:r w:rsidRPr="002133D7">
        <w:rPr>
          <w:lang w:val="en-US"/>
        </w:rPr>
        <w:t xml:space="preserve"> </w:t>
      </w:r>
      <w:r w:rsidRPr="000D6A06">
        <w:rPr>
          <w:lang w:val="en-US"/>
        </w:rPr>
        <w:t>Calculation</w:t>
      </w:r>
      <w:r w:rsidRPr="002133D7">
        <w:rPr>
          <w:lang w:val="en-US"/>
        </w:rPr>
        <w:t xml:space="preserve"> </w:t>
      </w:r>
      <w:r w:rsidRPr="000D6A06">
        <w:rPr>
          <w:lang w:val="en-US"/>
        </w:rPr>
        <w:t>Code</w:t>
      </w:r>
      <w:r w:rsidRPr="002133D7">
        <w:rPr>
          <w:lang w:val="en-US"/>
        </w:rPr>
        <w:t xml:space="preserve"> </w:t>
      </w:r>
      <w:r w:rsidRPr="000D6A06">
        <w:rPr>
          <w:lang w:val="en-US"/>
        </w:rPr>
        <w:t>March</w:t>
      </w:r>
      <w:r w:rsidRPr="002133D7">
        <w:rPr>
          <w:lang w:val="en-US"/>
        </w:rPr>
        <w:t xml:space="preserve"> 5, 2012 </w:t>
      </w:r>
      <w:r w:rsidRPr="000D6A06">
        <w:rPr>
          <w:lang w:val="en-US"/>
        </w:rPr>
        <w:t>User’s Manual. 163 p.</w:t>
      </w:r>
    </w:p>
    <w:sectPr w:rsidR="002133D7" w:rsidRPr="002133D7" w:rsidSect="00813C9E">
      <w:footerReference w:type="even" r:id="rId11"/>
      <w:footerReference w:type="default" r:id="rId12"/>
      <w:pgSz w:w="11906" w:h="16838"/>
      <w:pgMar w:top="1134" w:right="1361" w:bottom="1247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338C" w:rsidRDefault="0050338C">
      <w:r>
        <w:separator/>
      </w:r>
    </w:p>
  </w:endnote>
  <w:endnote w:type="continuationSeparator" w:id="0">
    <w:p w:rsidR="0050338C" w:rsidRDefault="00503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D0A" w:rsidRDefault="00442D0A" w:rsidP="007C425E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42D0A" w:rsidRDefault="00442D0A" w:rsidP="00101912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D0A" w:rsidRDefault="00442D0A" w:rsidP="00101912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338C" w:rsidRDefault="0050338C">
      <w:r>
        <w:separator/>
      </w:r>
    </w:p>
  </w:footnote>
  <w:footnote w:type="continuationSeparator" w:id="0">
    <w:p w:rsidR="0050338C" w:rsidRDefault="005033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C5BBE"/>
    <w:multiLevelType w:val="hybridMultilevel"/>
    <w:tmpl w:val="BBA078FC"/>
    <w:lvl w:ilvl="0" w:tplc="43E4D3E4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2E147A13"/>
    <w:multiLevelType w:val="hybridMultilevel"/>
    <w:tmpl w:val="B85E63DC"/>
    <w:lvl w:ilvl="0" w:tplc="43E4D3E4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1F3E9C"/>
    <w:multiLevelType w:val="hybridMultilevel"/>
    <w:tmpl w:val="34424BD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CB14D1"/>
    <w:multiLevelType w:val="hybridMultilevel"/>
    <w:tmpl w:val="1C321928"/>
    <w:lvl w:ilvl="0" w:tplc="5AD4E4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2EC1604"/>
    <w:multiLevelType w:val="hybridMultilevel"/>
    <w:tmpl w:val="BDB4547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44C465DF"/>
    <w:multiLevelType w:val="hybridMultilevel"/>
    <w:tmpl w:val="7D941830"/>
    <w:lvl w:ilvl="0" w:tplc="05D65F6C">
      <w:start w:val="1"/>
      <w:numFmt w:val="decimal"/>
      <w:lvlText w:val="%1.  "/>
      <w:lvlJc w:val="left"/>
      <w:pPr>
        <w:ind w:left="3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901705C"/>
    <w:multiLevelType w:val="hybridMultilevel"/>
    <w:tmpl w:val="8D02121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725"/>
    <w:rsid w:val="00011E41"/>
    <w:rsid w:val="00041583"/>
    <w:rsid w:val="00057723"/>
    <w:rsid w:val="00073747"/>
    <w:rsid w:val="00082FB2"/>
    <w:rsid w:val="00084FBB"/>
    <w:rsid w:val="000A66E6"/>
    <w:rsid w:val="000A7C0A"/>
    <w:rsid w:val="000B764C"/>
    <w:rsid w:val="000C514B"/>
    <w:rsid w:val="000D3C93"/>
    <w:rsid w:val="000D661B"/>
    <w:rsid w:val="000D6A06"/>
    <w:rsid w:val="00101912"/>
    <w:rsid w:val="00145559"/>
    <w:rsid w:val="00145725"/>
    <w:rsid w:val="001560FA"/>
    <w:rsid w:val="00191B00"/>
    <w:rsid w:val="001942D4"/>
    <w:rsid w:val="001C34DE"/>
    <w:rsid w:val="001C65A7"/>
    <w:rsid w:val="00203945"/>
    <w:rsid w:val="002133D7"/>
    <w:rsid w:val="00233643"/>
    <w:rsid w:val="002522CA"/>
    <w:rsid w:val="002700F0"/>
    <w:rsid w:val="002D0661"/>
    <w:rsid w:val="003134BF"/>
    <w:rsid w:val="003336B0"/>
    <w:rsid w:val="0034624D"/>
    <w:rsid w:val="0036078F"/>
    <w:rsid w:val="00372B30"/>
    <w:rsid w:val="00387196"/>
    <w:rsid w:val="003A1889"/>
    <w:rsid w:val="003A7D50"/>
    <w:rsid w:val="003B0219"/>
    <w:rsid w:val="003C665C"/>
    <w:rsid w:val="0040718C"/>
    <w:rsid w:val="00412D4B"/>
    <w:rsid w:val="00442D0A"/>
    <w:rsid w:val="00461070"/>
    <w:rsid w:val="00471C89"/>
    <w:rsid w:val="004774A3"/>
    <w:rsid w:val="00486049"/>
    <w:rsid w:val="004C1B51"/>
    <w:rsid w:val="004F0E58"/>
    <w:rsid w:val="004F3B26"/>
    <w:rsid w:val="0050338C"/>
    <w:rsid w:val="00522F93"/>
    <w:rsid w:val="00536E00"/>
    <w:rsid w:val="005656FA"/>
    <w:rsid w:val="00567E13"/>
    <w:rsid w:val="00585FDB"/>
    <w:rsid w:val="005A0ADD"/>
    <w:rsid w:val="005B478A"/>
    <w:rsid w:val="005C1810"/>
    <w:rsid w:val="005C5F32"/>
    <w:rsid w:val="005E4425"/>
    <w:rsid w:val="005E788B"/>
    <w:rsid w:val="005F4736"/>
    <w:rsid w:val="00604F95"/>
    <w:rsid w:val="00613B5D"/>
    <w:rsid w:val="00623A05"/>
    <w:rsid w:val="00630801"/>
    <w:rsid w:val="0065799F"/>
    <w:rsid w:val="00665540"/>
    <w:rsid w:val="00684521"/>
    <w:rsid w:val="00691213"/>
    <w:rsid w:val="006C6C75"/>
    <w:rsid w:val="006D39CB"/>
    <w:rsid w:val="006E2A0B"/>
    <w:rsid w:val="006F21F0"/>
    <w:rsid w:val="00704E39"/>
    <w:rsid w:val="00711436"/>
    <w:rsid w:val="0071479B"/>
    <w:rsid w:val="00726440"/>
    <w:rsid w:val="007533AC"/>
    <w:rsid w:val="00763BEC"/>
    <w:rsid w:val="0078361D"/>
    <w:rsid w:val="00785C57"/>
    <w:rsid w:val="007B0060"/>
    <w:rsid w:val="007C0667"/>
    <w:rsid w:val="007C15AF"/>
    <w:rsid w:val="007C425E"/>
    <w:rsid w:val="007E281C"/>
    <w:rsid w:val="007E2B50"/>
    <w:rsid w:val="007E3472"/>
    <w:rsid w:val="007F5491"/>
    <w:rsid w:val="00804CEF"/>
    <w:rsid w:val="00813C9E"/>
    <w:rsid w:val="008309D3"/>
    <w:rsid w:val="00842AC1"/>
    <w:rsid w:val="00853D7F"/>
    <w:rsid w:val="008A2CA1"/>
    <w:rsid w:val="008A36BD"/>
    <w:rsid w:val="008D0BC8"/>
    <w:rsid w:val="008D3631"/>
    <w:rsid w:val="008E6318"/>
    <w:rsid w:val="008F41D2"/>
    <w:rsid w:val="008F5B75"/>
    <w:rsid w:val="00904BA7"/>
    <w:rsid w:val="00925138"/>
    <w:rsid w:val="00960060"/>
    <w:rsid w:val="009654CD"/>
    <w:rsid w:val="00971DA1"/>
    <w:rsid w:val="009C6D9B"/>
    <w:rsid w:val="009F1B7E"/>
    <w:rsid w:val="009F3AFE"/>
    <w:rsid w:val="00A318C8"/>
    <w:rsid w:val="00A72FF9"/>
    <w:rsid w:val="00AD4300"/>
    <w:rsid w:val="00B07841"/>
    <w:rsid w:val="00B40569"/>
    <w:rsid w:val="00B60661"/>
    <w:rsid w:val="00B71CCF"/>
    <w:rsid w:val="00B87ADC"/>
    <w:rsid w:val="00B9050C"/>
    <w:rsid w:val="00BA269F"/>
    <w:rsid w:val="00BB1D57"/>
    <w:rsid w:val="00BC53DF"/>
    <w:rsid w:val="00BF1D85"/>
    <w:rsid w:val="00BF258B"/>
    <w:rsid w:val="00C13C66"/>
    <w:rsid w:val="00C23BEC"/>
    <w:rsid w:val="00C248C4"/>
    <w:rsid w:val="00C55FC0"/>
    <w:rsid w:val="00C82183"/>
    <w:rsid w:val="00C92CD8"/>
    <w:rsid w:val="00CC748C"/>
    <w:rsid w:val="00CD4908"/>
    <w:rsid w:val="00CE5B12"/>
    <w:rsid w:val="00D11384"/>
    <w:rsid w:val="00D6493C"/>
    <w:rsid w:val="00D90DF5"/>
    <w:rsid w:val="00DD7765"/>
    <w:rsid w:val="00E20375"/>
    <w:rsid w:val="00E22224"/>
    <w:rsid w:val="00E63F1A"/>
    <w:rsid w:val="00E64A9A"/>
    <w:rsid w:val="00E65676"/>
    <w:rsid w:val="00E65683"/>
    <w:rsid w:val="00EA4C97"/>
    <w:rsid w:val="00ED0FEB"/>
    <w:rsid w:val="00EE2373"/>
    <w:rsid w:val="00EF5FB6"/>
    <w:rsid w:val="00F30866"/>
    <w:rsid w:val="00F40B92"/>
    <w:rsid w:val="00F538BF"/>
    <w:rsid w:val="00F7405A"/>
    <w:rsid w:val="00FC0C73"/>
    <w:rsid w:val="00FF05B2"/>
    <w:rsid w:val="00FF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0F1AB7"/>
  <w15:chartTrackingRefBased/>
  <w15:docId w15:val="{32902AD7-1362-44F1-BAE1-40382D638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643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9F1B7E"/>
    <w:pPr>
      <w:keepNext/>
      <w:pageBreakBefore/>
      <w:spacing w:after="120" w:line="360" w:lineRule="auto"/>
      <w:ind w:firstLine="709"/>
      <w:jc w:val="center"/>
      <w:outlineLvl w:val="1"/>
    </w:pPr>
    <w:rPr>
      <w:b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145725"/>
    <w:rPr>
      <w:i/>
      <w:iCs/>
    </w:rPr>
  </w:style>
  <w:style w:type="character" w:customStyle="1" w:styleId="apple-converted-space">
    <w:name w:val="apple-converted-space"/>
    <w:basedOn w:val="a0"/>
    <w:rsid w:val="00145725"/>
  </w:style>
  <w:style w:type="character" w:styleId="a4">
    <w:name w:val="Hyperlink"/>
    <w:rsid w:val="003C665C"/>
    <w:rPr>
      <w:color w:val="0000FF"/>
      <w:u w:val="single"/>
    </w:rPr>
  </w:style>
  <w:style w:type="paragraph" w:styleId="a5">
    <w:name w:val="No Spacing"/>
    <w:link w:val="a6"/>
    <w:qFormat/>
    <w:rsid w:val="0034624D"/>
    <w:rPr>
      <w:rFonts w:ascii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34624D"/>
    <w:rPr>
      <w:rFonts w:ascii="Calibri" w:hAnsi="Calibri"/>
      <w:sz w:val="22"/>
      <w:szCs w:val="22"/>
      <w:lang w:val="ru-RU" w:eastAsia="en-US" w:bidi="ar-SA"/>
    </w:rPr>
  </w:style>
  <w:style w:type="character" w:customStyle="1" w:styleId="20">
    <w:name w:val="Заголовок 2 Знак"/>
    <w:link w:val="2"/>
    <w:rsid w:val="009F1B7E"/>
    <w:rPr>
      <w:b/>
      <w:bCs/>
      <w:iCs/>
      <w:sz w:val="28"/>
      <w:szCs w:val="28"/>
      <w:lang w:val="ru-RU" w:eastAsia="ru-RU" w:bidi="ar-SA"/>
    </w:rPr>
  </w:style>
  <w:style w:type="paragraph" w:styleId="a7">
    <w:name w:val="Normal (Web)"/>
    <w:basedOn w:val="a"/>
    <w:uiPriority w:val="99"/>
    <w:unhideWhenUsed/>
    <w:rsid w:val="007C0667"/>
    <w:pPr>
      <w:spacing w:before="100" w:beforeAutospacing="1" w:after="100" w:afterAutospacing="1"/>
    </w:pPr>
  </w:style>
  <w:style w:type="paragraph" w:styleId="a8">
    <w:name w:val="footer"/>
    <w:basedOn w:val="a"/>
    <w:rsid w:val="00101912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101912"/>
  </w:style>
  <w:style w:type="character" w:styleId="aa">
    <w:name w:val="Placeholder Text"/>
    <w:uiPriority w:val="99"/>
    <w:semiHidden/>
    <w:rsid w:val="00F7405A"/>
    <w:rPr>
      <w:color w:val="808080"/>
    </w:rPr>
  </w:style>
  <w:style w:type="paragraph" w:styleId="ab">
    <w:name w:val="List Paragraph"/>
    <w:basedOn w:val="a"/>
    <w:qFormat/>
    <w:rsid w:val="00F40B92"/>
    <w:pPr>
      <w:ind w:left="720"/>
      <w:contextualSpacing/>
    </w:pPr>
  </w:style>
  <w:style w:type="paragraph" w:styleId="ac">
    <w:name w:val="Balloon Text"/>
    <w:basedOn w:val="a"/>
    <w:link w:val="ad"/>
    <w:rsid w:val="00813C9E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rsid w:val="00813C9E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semiHidden/>
    <w:unhideWhenUsed/>
    <w:rsid w:val="005B478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semiHidden/>
    <w:rsid w:val="005B478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83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4978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7991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7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radisecitymake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E:\Solve\Alexandra\&#1055;&#1083;&#1086;&#1090;&#1085;&#1086;&#1089;&#1090;&#1085;&#1086;&#1081;%20&#1101;&#1092;&#1092;&#1077;&#1082;&#1090;%20&#1057;&#1072;&#1096;&#1072;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lineMarker"/>
        <c:varyColors val="0"/>
        <c:ser>
          <c:idx val="0"/>
          <c:order val="0"/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xVal>
            <c:numRef>
              <c:f>'Бета + КВ'!$S$2:$S$7</c:f>
              <c:numCache>
                <c:formatCode>General</c:formatCode>
                <c:ptCount val="6"/>
                <c:pt idx="0">
                  <c:v>0</c:v>
                </c:pt>
                <c:pt idx="1">
                  <c:v>0.5</c:v>
                </c:pt>
                <c:pt idx="2">
                  <c:v>1</c:v>
                </c:pt>
                <c:pt idx="3">
                  <c:v>1.5</c:v>
                </c:pt>
                <c:pt idx="4">
                  <c:v>2</c:v>
                </c:pt>
                <c:pt idx="5">
                  <c:v>2.5</c:v>
                </c:pt>
              </c:numCache>
            </c:numRef>
          </c:xVal>
          <c:yVal>
            <c:numRef>
              <c:f>'Бета + КВ'!$T$2:$T$7</c:f>
              <c:numCache>
                <c:formatCode>0.00E+00</c:formatCode>
                <c:ptCount val="6"/>
                <c:pt idx="0">
                  <c:v>0.39690999999999999</c:v>
                </c:pt>
                <c:pt idx="1">
                  <c:v>0.40168399999999999</c:v>
                </c:pt>
                <c:pt idx="2">
                  <c:v>0.416022</c:v>
                </c:pt>
                <c:pt idx="3">
                  <c:v>0.44380900000000001</c:v>
                </c:pt>
                <c:pt idx="4">
                  <c:v>0.48811900000000003</c:v>
                </c:pt>
                <c:pt idx="5">
                  <c:v>0.56450900000000004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EC35-47C1-839C-EBDB15A3A0C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660767311"/>
        <c:axId val="1660763567"/>
      </c:scatterChart>
      <c:valAx>
        <c:axId val="1660767311"/>
        <c:scaling>
          <c:orientation val="minMax"/>
          <c:max val="2.5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ru-RU"/>
                  <a:t>Размер вытеснителя, см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100" b="0" i="0" u="none" strike="noStrike" kern="1200" baseline="0">
                  <a:solidFill>
                    <a:sysClr val="windowText" lastClr="000000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660763567"/>
        <c:crosses val="autoZero"/>
        <c:crossBetween val="midCat"/>
      </c:valAx>
      <c:valAx>
        <c:axId val="1660763567"/>
        <c:scaling>
          <c:orientation val="minMax"/>
          <c:min val="0.35000000000000003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ru-RU"/>
                  <a:t>КВ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100" b="0" i="0" u="none" strike="noStrike" kern="1200" baseline="0">
                  <a:solidFill>
                    <a:sysClr val="windowText" lastClr="000000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ru-RU"/>
            </a:p>
          </c:txPr>
        </c:title>
        <c:numFmt formatCode="#,##0.00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660767311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100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C09FE7-272C-46E4-9F78-9AED888AF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265</Words>
  <Characters>1710</Characters>
  <Application>Microsoft Office Word</Application>
  <DocSecurity>0</DocSecurity>
  <Lines>50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Особенности акустического поля мощных фазированных решеток для неинвазивной ультразвуковой хирургии</vt:lpstr>
      <vt:lpstr>Особенности акустического поля мощных фазированных решеток для неинвазивной ультразвуковой хирургии</vt:lpstr>
    </vt:vector>
  </TitlesOfParts>
  <Company>MSU</Company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Особенности акустического поля мощных фазированных решеток для неинвазивной ультразвуковой хирургии</dc:title>
  <dc:subject/>
  <dc:creator>PR</dc:creator>
  <cp:keywords/>
  <cp:lastModifiedBy>Vnukov R.</cp:lastModifiedBy>
  <cp:revision>3</cp:revision>
  <dcterms:created xsi:type="dcterms:W3CDTF">2024-02-16T20:47:00Z</dcterms:created>
  <dcterms:modified xsi:type="dcterms:W3CDTF">2024-02-16T20:49:00Z</dcterms:modified>
</cp:coreProperties>
</file>