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5FAD" w:rsidRDefault="004227EF" w:rsidP="004227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7EF">
        <w:rPr>
          <w:rFonts w:ascii="Times New Roman" w:hAnsi="Times New Roman" w:cs="Times New Roman"/>
          <w:b/>
          <w:sz w:val="24"/>
          <w:szCs w:val="24"/>
        </w:rPr>
        <w:t>Землетрясения с очагами типа недвойного диполя Камчатки</w:t>
      </w:r>
    </w:p>
    <w:p w:rsidR="004227EF" w:rsidRDefault="00745016" w:rsidP="004227E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Маршакова Е.А.</w:t>
      </w:r>
    </w:p>
    <w:p w:rsidR="00745016" w:rsidRDefault="004E2A38" w:rsidP="004227E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745016" w:rsidRPr="00745016">
        <w:rPr>
          <w:rFonts w:ascii="Times New Roman" w:hAnsi="Times New Roman" w:cs="Times New Roman"/>
          <w:i/>
          <w:sz w:val="24"/>
          <w:szCs w:val="24"/>
        </w:rPr>
        <w:t>тудент</w:t>
      </w:r>
    </w:p>
    <w:p w:rsidR="00C34A29" w:rsidRDefault="00C34A29" w:rsidP="004227E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Московский государственный университет имени М.В.Ломоносова, </w:t>
      </w:r>
    </w:p>
    <w:p w:rsidR="00C34A29" w:rsidRPr="00745016" w:rsidRDefault="00C34A29" w:rsidP="004227E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физический факультет, Москва, Россия</w:t>
      </w:r>
    </w:p>
    <w:p w:rsidR="00745016" w:rsidRDefault="00C34A29" w:rsidP="004227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34A2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34A2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F31A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marshakova.ea20@physics.msu.ru</w:t>
        </w:r>
      </w:hyperlink>
    </w:p>
    <w:p w:rsidR="00C34A29" w:rsidRDefault="00ED1F68" w:rsidP="00C34A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Большинство моделей сейсмического очага построены с предположением силовой модели двойного диполя источника. Однако, полученные с помощью таких моделей расчетные деформации могут отличать</w:t>
      </w:r>
      <w:r w:rsidR="003D5861">
        <w:rPr>
          <w:rFonts w:ascii="Times New Roman" w:hAnsi="Times New Roman" w:cs="Times New Roman"/>
          <w:sz w:val="24"/>
          <w:szCs w:val="24"/>
        </w:rPr>
        <w:t xml:space="preserve">ся от реальных в случае выраженных сил недвойного диполя в источнике. Таким образом, </w:t>
      </w:r>
      <w:r w:rsidR="00E70091">
        <w:rPr>
          <w:rFonts w:ascii="Times New Roman" w:hAnsi="Times New Roman" w:cs="Times New Roman"/>
          <w:sz w:val="24"/>
          <w:szCs w:val="24"/>
        </w:rPr>
        <w:t xml:space="preserve">необходимо научиться выделять подобные события и оценивать степень отклонения сил в их источнике от модели двойного диполя. </w:t>
      </w:r>
    </w:p>
    <w:p w:rsidR="004E2A38" w:rsidRDefault="00E70091" w:rsidP="003A51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работе произведен анализ землетрясений с магнитудой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70091">
        <w:rPr>
          <w:rFonts w:ascii="Times New Roman" w:hAnsi="Times New Roman" w:cs="Times New Roman"/>
          <w:sz w:val="24"/>
          <w:szCs w:val="24"/>
        </w:rPr>
        <w:t>≥5</w:t>
      </w:r>
      <w:r>
        <w:rPr>
          <w:rFonts w:ascii="Times New Roman" w:hAnsi="Times New Roman" w:cs="Times New Roman"/>
          <w:sz w:val="24"/>
          <w:szCs w:val="24"/>
        </w:rPr>
        <w:t xml:space="preserve"> в районе </w:t>
      </w:r>
      <w:r w:rsidR="00CB3610">
        <w:rPr>
          <w:rFonts w:ascii="Times New Roman" w:hAnsi="Times New Roman" w:cs="Times New Roman"/>
          <w:sz w:val="24"/>
          <w:szCs w:val="24"/>
        </w:rPr>
        <w:t xml:space="preserve">Курильской и Алеутской дуги. </w:t>
      </w:r>
      <w:r w:rsidR="00DD644F">
        <w:rPr>
          <w:rFonts w:ascii="Times New Roman" w:hAnsi="Times New Roman" w:cs="Times New Roman"/>
          <w:sz w:val="24"/>
          <w:szCs w:val="24"/>
        </w:rPr>
        <w:t>Представлен способ оценки недвойной дипольной компоненты тензора сейсмического момента с помощью расчета угла между направлением подвижки и нормалью к плоскости подвижки.</w:t>
      </w:r>
      <w:r w:rsidR="00462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44F" w:rsidRPr="00E70091" w:rsidRDefault="00462DAD" w:rsidP="004E2A3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исходных данных были использованы значения сейсмического момента из Гарвардского каталога центроид-моментов. </w:t>
      </w:r>
      <w:r w:rsidR="004437DE">
        <w:rPr>
          <w:rFonts w:ascii="Times New Roman" w:hAnsi="Times New Roman" w:cs="Times New Roman"/>
          <w:sz w:val="24"/>
          <w:szCs w:val="24"/>
        </w:rPr>
        <w:t xml:space="preserve">В результате анализа выявлено, что отдельные события имеют угол между направлением подвижки и плоскостью подвижки более 45 градусов, а «двухсигмовое» отклонение этого угла от нуля градусов (при чисто двудипольном очаге) составило 36 градусов. При этом наблюдаются как положительные, так и отрицательные значения рассчитанных углов, что указывает на соответственно увеличение и сжатие берегов разрыва в очаге. </w:t>
      </w:r>
      <w:r w:rsidR="009D718E">
        <w:rPr>
          <w:rFonts w:ascii="Times New Roman" w:hAnsi="Times New Roman" w:cs="Times New Roman"/>
          <w:sz w:val="24"/>
          <w:szCs w:val="24"/>
        </w:rPr>
        <w:t>Закономерности распределения очагов типа недвойного диполя пока не выявлены. Установлено, что наиболее сильное землетрясение (с магнитудой более 7) с очагом типа недвойного диполя расположено на стыке Курильской и Алеутских дуг.</w:t>
      </w:r>
    </w:p>
    <w:p w:rsidR="00C34A29" w:rsidRPr="00C34A29" w:rsidRDefault="00C34A29" w:rsidP="00C34A2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A29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BC1258" w:rsidRPr="00DD644F" w:rsidRDefault="00BC1258" w:rsidP="00DD644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44F">
        <w:rPr>
          <w:rFonts w:ascii="Times New Roman" w:hAnsi="Times New Roman" w:cs="Times New Roman"/>
          <w:sz w:val="24"/>
          <w:szCs w:val="24"/>
          <w:lang w:val="en-US"/>
        </w:rPr>
        <w:t>Vavryčuk, V. (2001), Inversion for parameters of tensile earthquakes, </w:t>
      </w:r>
      <w:r w:rsidRPr="00DD644F">
        <w:rPr>
          <w:rFonts w:ascii="Times New Roman" w:hAnsi="Times New Roman" w:cs="Times New Roman"/>
          <w:i/>
          <w:iCs/>
          <w:sz w:val="24"/>
          <w:szCs w:val="24"/>
          <w:lang w:val="en-US"/>
        </w:rPr>
        <w:t>J. Geophys. Res.</w:t>
      </w:r>
      <w:r w:rsidRPr="00DD644F">
        <w:rPr>
          <w:rFonts w:ascii="Times New Roman" w:hAnsi="Times New Roman" w:cs="Times New Roman"/>
          <w:sz w:val="24"/>
          <w:szCs w:val="24"/>
          <w:lang w:val="en-US"/>
        </w:rPr>
        <w:t>, </w:t>
      </w:r>
      <w:r w:rsidRPr="00DD644F">
        <w:rPr>
          <w:rFonts w:ascii="Times New Roman" w:hAnsi="Times New Roman" w:cs="Times New Roman"/>
          <w:b/>
          <w:bCs/>
          <w:sz w:val="24"/>
          <w:szCs w:val="24"/>
          <w:lang w:val="en-US"/>
        </w:rPr>
        <w:t>106</w:t>
      </w:r>
      <w:r w:rsidRPr="00DD644F">
        <w:rPr>
          <w:rFonts w:ascii="Times New Roman" w:hAnsi="Times New Roman" w:cs="Times New Roman"/>
          <w:sz w:val="24"/>
          <w:szCs w:val="24"/>
          <w:lang w:val="en-US"/>
        </w:rPr>
        <w:t>, 16,339–16,355, doi:10.1029/2001JB000372.</w:t>
      </w:r>
    </w:p>
    <w:p w:rsidR="00BC1258" w:rsidRPr="00DD644F" w:rsidRDefault="00BC1258" w:rsidP="00DD644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44F">
        <w:rPr>
          <w:rFonts w:ascii="Times New Roman" w:hAnsi="Times New Roman" w:cs="Times New Roman"/>
          <w:sz w:val="24"/>
          <w:szCs w:val="24"/>
          <w:lang w:val="en-US"/>
        </w:rPr>
        <w:t>Stierle, E. (2015). </w:t>
      </w:r>
      <w:r w:rsidRPr="00DD644F">
        <w:rPr>
          <w:rFonts w:ascii="Times New Roman" w:hAnsi="Times New Roman" w:cs="Times New Roman"/>
          <w:i/>
          <w:iCs/>
          <w:sz w:val="24"/>
          <w:szCs w:val="24"/>
          <w:lang w:val="en-US"/>
        </w:rPr>
        <w:t>Non-Double-Couple Components in Moment Tensors of Aftershock Seismicity and Laboratory Earthquakes</w:t>
      </w:r>
      <w:r w:rsidRPr="00DD644F">
        <w:rPr>
          <w:rFonts w:ascii="Times New Roman" w:hAnsi="Times New Roman" w:cs="Times New Roman"/>
          <w:sz w:val="24"/>
          <w:szCs w:val="24"/>
          <w:lang w:val="en-US"/>
        </w:rPr>
        <w:t>. Ph.D. thesis.</w:t>
      </w:r>
    </w:p>
    <w:p w:rsidR="00C34A29" w:rsidRPr="00DD644F" w:rsidRDefault="00BC1258" w:rsidP="00DD644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644F">
        <w:rPr>
          <w:rFonts w:ascii="Times New Roman" w:hAnsi="Times New Roman" w:cs="Times New Roman"/>
          <w:sz w:val="24"/>
          <w:szCs w:val="24"/>
          <w:lang w:val="en-US"/>
        </w:rPr>
        <w:t>Vavrycuk</w:t>
      </w:r>
      <w:r w:rsidRPr="00DD644F">
        <w:rPr>
          <w:rFonts w:ascii="Times New Roman" w:hAnsi="Times New Roman" w:cs="Times New Roman"/>
          <w:sz w:val="24"/>
          <w:szCs w:val="24"/>
        </w:rPr>
        <w:t xml:space="preserve">, </w:t>
      </w:r>
      <w:r w:rsidRPr="00DD644F">
        <w:rPr>
          <w:rFonts w:ascii="Times New Roman" w:hAnsi="Times New Roman" w:cs="Times New Roman"/>
          <w:sz w:val="24"/>
          <w:szCs w:val="24"/>
          <w:lang w:val="en-US"/>
        </w:rPr>
        <w:t>Vaclav</w:t>
      </w:r>
      <w:r w:rsidRPr="00DD644F">
        <w:rPr>
          <w:rFonts w:ascii="Times New Roman" w:hAnsi="Times New Roman" w:cs="Times New Roman"/>
          <w:sz w:val="24"/>
          <w:szCs w:val="24"/>
        </w:rPr>
        <w:t xml:space="preserve"> &amp; </w:t>
      </w:r>
      <w:r w:rsidRPr="00DD644F">
        <w:rPr>
          <w:rFonts w:ascii="Times New Roman" w:hAnsi="Times New Roman" w:cs="Times New Roman"/>
          <w:sz w:val="24"/>
          <w:szCs w:val="24"/>
          <w:lang w:val="en-US"/>
        </w:rPr>
        <w:t>Petru</w:t>
      </w:r>
      <w:r w:rsidRPr="00DD644F">
        <w:rPr>
          <w:rFonts w:ascii="Times New Roman" w:hAnsi="Times New Roman" w:cs="Times New Roman"/>
          <w:sz w:val="24"/>
          <w:szCs w:val="24"/>
        </w:rPr>
        <w:t>žá</w:t>
      </w:r>
      <w:r w:rsidRPr="00DD644F">
        <w:rPr>
          <w:rFonts w:ascii="Times New Roman" w:hAnsi="Times New Roman" w:cs="Times New Roman"/>
          <w:sz w:val="24"/>
          <w:szCs w:val="24"/>
          <w:lang w:val="en-US"/>
        </w:rPr>
        <w:t>lek</w:t>
      </w:r>
      <w:r w:rsidRPr="00DD644F">
        <w:rPr>
          <w:rFonts w:ascii="Times New Roman" w:hAnsi="Times New Roman" w:cs="Times New Roman"/>
          <w:sz w:val="24"/>
          <w:szCs w:val="24"/>
        </w:rPr>
        <w:t xml:space="preserve">, </w:t>
      </w:r>
      <w:r w:rsidRPr="00DD644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D644F">
        <w:rPr>
          <w:rFonts w:ascii="Times New Roman" w:hAnsi="Times New Roman" w:cs="Times New Roman"/>
          <w:sz w:val="24"/>
          <w:szCs w:val="24"/>
        </w:rPr>
        <w:t xml:space="preserve">. &amp; </w:t>
      </w:r>
      <w:r w:rsidRPr="00DD644F">
        <w:rPr>
          <w:rFonts w:ascii="Times New Roman" w:hAnsi="Times New Roman" w:cs="Times New Roman"/>
          <w:sz w:val="24"/>
          <w:szCs w:val="24"/>
          <w:lang w:val="en-US"/>
        </w:rPr>
        <w:t>Lokaj</w:t>
      </w:r>
      <w:r w:rsidRPr="00DD644F">
        <w:rPr>
          <w:rFonts w:ascii="Times New Roman" w:hAnsi="Times New Roman" w:cs="Times New Roman"/>
          <w:sz w:val="24"/>
          <w:szCs w:val="24"/>
        </w:rPr>
        <w:t>íč</w:t>
      </w:r>
      <w:r w:rsidRPr="00DD644F">
        <w:rPr>
          <w:rFonts w:ascii="Times New Roman" w:hAnsi="Times New Roman" w:cs="Times New Roman"/>
          <w:sz w:val="24"/>
          <w:szCs w:val="24"/>
          <w:lang w:val="en-US"/>
        </w:rPr>
        <w:t>ek</w:t>
      </w:r>
      <w:r w:rsidRPr="00DD644F">
        <w:rPr>
          <w:rFonts w:ascii="Times New Roman" w:hAnsi="Times New Roman" w:cs="Times New Roman"/>
          <w:sz w:val="24"/>
          <w:szCs w:val="24"/>
        </w:rPr>
        <w:t xml:space="preserve">, </w:t>
      </w:r>
      <w:r w:rsidRPr="00DD644F">
        <w:rPr>
          <w:rFonts w:ascii="Times New Roman" w:hAnsi="Times New Roman" w:cs="Times New Roman"/>
          <w:sz w:val="24"/>
          <w:szCs w:val="24"/>
          <w:lang w:val="en-US"/>
        </w:rPr>
        <w:t>Tom</w:t>
      </w:r>
      <w:r w:rsidRPr="00DD644F">
        <w:rPr>
          <w:rFonts w:ascii="Times New Roman" w:hAnsi="Times New Roman" w:cs="Times New Roman"/>
          <w:sz w:val="24"/>
          <w:szCs w:val="24"/>
        </w:rPr>
        <w:t xml:space="preserve">áš &amp; </w:t>
      </w:r>
      <w:r w:rsidRPr="00DD644F">
        <w:rPr>
          <w:rFonts w:ascii="Times New Roman" w:hAnsi="Times New Roman" w:cs="Times New Roman"/>
          <w:sz w:val="24"/>
          <w:szCs w:val="24"/>
          <w:lang w:val="en-US"/>
        </w:rPr>
        <w:t>Aminzadeh</w:t>
      </w:r>
      <w:r w:rsidRPr="00DD644F">
        <w:rPr>
          <w:rFonts w:ascii="Times New Roman" w:hAnsi="Times New Roman" w:cs="Times New Roman"/>
          <w:sz w:val="24"/>
          <w:szCs w:val="24"/>
        </w:rPr>
        <w:t xml:space="preserve">, </w:t>
      </w:r>
      <w:r w:rsidRPr="00DD644F">
        <w:rPr>
          <w:rFonts w:ascii="Times New Roman" w:hAnsi="Times New Roman" w:cs="Times New Roman"/>
          <w:sz w:val="24"/>
          <w:szCs w:val="24"/>
          <w:lang w:val="en-US"/>
        </w:rPr>
        <w:t>Ali</w:t>
      </w:r>
      <w:r w:rsidRPr="00DD644F">
        <w:rPr>
          <w:rFonts w:ascii="Times New Roman" w:hAnsi="Times New Roman" w:cs="Times New Roman"/>
          <w:sz w:val="24"/>
          <w:szCs w:val="24"/>
        </w:rPr>
        <w:t xml:space="preserve">. </w:t>
      </w:r>
      <w:r w:rsidRPr="00DD644F">
        <w:rPr>
          <w:rFonts w:ascii="Times New Roman" w:hAnsi="Times New Roman" w:cs="Times New Roman"/>
          <w:sz w:val="24"/>
          <w:szCs w:val="24"/>
          <w:lang w:val="en-US"/>
        </w:rPr>
        <w:t xml:space="preserve">(2023). Bi-modular properties of sandstone inferred from seismic moment tensors of acoustic emissions. International Journal of Rock Mechanics and Mining Sciences. 171. 105576. 10.1016/j.ijrmms.2023.105576. </w:t>
      </w:r>
    </w:p>
    <w:sectPr w:rsidR="00C34A29" w:rsidRPr="00DD644F" w:rsidSect="00C0362A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2566E"/>
    <w:multiLevelType w:val="hybridMultilevel"/>
    <w:tmpl w:val="16AE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96F12"/>
    <w:multiLevelType w:val="hybridMultilevel"/>
    <w:tmpl w:val="95321198"/>
    <w:lvl w:ilvl="0" w:tplc="49302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ACE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B48E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324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2A97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CC65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D0F1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C9F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6EA2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3454279">
    <w:abstractNumId w:val="0"/>
  </w:num>
  <w:num w:numId="2" w16cid:durableId="372970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37E"/>
    <w:rsid w:val="003A51BB"/>
    <w:rsid w:val="003D5861"/>
    <w:rsid w:val="004227EF"/>
    <w:rsid w:val="004437DE"/>
    <w:rsid w:val="00462DAD"/>
    <w:rsid w:val="004C4E2C"/>
    <w:rsid w:val="004C579A"/>
    <w:rsid w:val="004E2A38"/>
    <w:rsid w:val="00504283"/>
    <w:rsid w:val="00745016"/>
    <w:rsid w:val="00883115"/>
    <w:rsid w:val="0090237E"/>
    <w:rsid w:val="009D718E"/>
    <w:rsid w:val="00BC1258"/>
    <w:rsid w:val="00C0362A"/>
    <w:rsid w:val="00C34A29"/>
    <w:rsid w:val="00C55401"/>
    <w:rsid w:val="00CB3610"/>
    <w:rsid w:val="00DD644F"/>
    <w:rsid w:val="00E70091"/>
    <w:rsid w:val="00E75FAD"/>
    <w:rsid w:val="00ED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CE4A"/>
  <w15:chartTrackingRefBased/>
  <w15:docId w15:val="{812AAE80-1564-4213-8B1B-84A85246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A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34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4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340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28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59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marshakova.ea20@physics.msu.ru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Катя Маршакова</cp:lastModifiedBy>
  <cp:revision>2</cp:revision>
  <dcterms:created xsi:type="dcterms:W3CDTF">2024-02-12T11:27:00Z</dcterms:created>
  <dcterms:modified xsi:type="dcterms:W3CDTF">2024-02-12T11:27:00Z</dcterms:modified>
</cp:coreProperties>
</file>