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7D2B" w14:textId="114EB2DF" w:rsidR="00D21D31" w:rsidRPr="0071476F" w:rsidRDefault="00D21D31" w:rsidP="0071476F">
      <w:pPr>
        <w:jc w:val="center"/>
        <w:rPr>
          <w:rFonts w:cs="Times New Roman"/>
          <w:b/>
          <w:caps/>
          <w:sz w:val="24"/>
        </w:rPr>
      </w:pPr>
      <w:r w:rsidRPr="0071476F">
        <w:rPr>
          <w:rFonts w:cs="Times New Roman"/>
          <w:b/>
          <w:caps/>
          <w:sz w:val="24"/>
        </w:rPr>
        <w:t xml:space="preserve">К ВОПРОСУ О ГРАНИЦАХ ПРИМЕНИМОСТИ ПАРАМЕТРА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aps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aps/>
                <w:sz w:val="24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aps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aps/>
                    <w:sz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aps/>
                    <w:sz w:val="24"/>
                  </w:rPr>
                  <m:t>2</m:t>
                </m:r>
              </m:sub>
            </m:sSub>
          </m:sub>
        </m:sSub>
      </m:oMath>
    </w:p>
    <w:p w14:paraId="5D931ABA" w14:textId="77777777" w:rsidR="00D21D31" w:rsidRPr="0071476F" w:rsidRDefault="00D21D31" w:rsidP="0071476F">
      <w:pPr>
        <w:jc w:val="center"/>
        <w:rPr>
          <w:rFonts w:cs="Times New Roman"/>
          <w:b/>
          <w:caps/>
          <w:sz w:val="24"/>
        </w:rPr>
      </w:pPr>
      <w:r w:rsidRPr="0071476F">
        <w:rPr>
          <w:rFonts w:cs="Times New Roman"/>
          <w:b/>
          <w:caps/>
          <w:sz w:val="24"/>
        </w:rPr>
        <w:t>ПРИ ИЗУЧЕНИИ ВАРИАЦИЙ ДРЕВНЕГО ГЕОМАГНИТНОГО ПОЛЯ</w:t>
      </w:r>
    </w:p>
    <w:p w14:paraId="58F3C704" w14:textId="29AFEFE6" w:rsidR="00A929E3" w:rsidRPr="0071476F" w:rsidRDefault="00A929E3" w:rsidP="0071476F">
      <w:pPr>
        <w:jc w:val="center"/>
        <w:rPr>
          <w:rFonts w:cs="Times New Roman"/>
          <w:sz w:val="24"/>
          <w:vertAlign w:val="superscript"/>
        </w:rPr>
      </w:pPr>
      <w:r w:rsidRPr="0071476F">
        <w:rPr>
          <w:rFonts w:cs="Times New Roman"/>
          <w:sz w:val="24"/>
        </w:rPr>
        <w:t>Ушаков Д.А.</w:t>
      </w:r>
      <w:r w:rsidRPr="0071476F">
        <w:rPr>
          <w:rFonts w:cs="Times New Roman"/>
          <w:sz w:val="24"/>
          <w:vertAlign w:val="superscript"/>
        </w:rPr>
        <w:t>1</w:t>
      </w:r>
    </w:p>
    <w:p w14:paraId="665EB463" w14:textId="77777777" w:rsidR="00555A65" w:rsidRPr="0071476F" w:rsidRDefault="00555A65" w:rsidP="0071476F">
      <w:pPr>
        <w:ind w:firstLine="426"/>
        <w:jc w:val="center"/>
        <w:rPr>
          <w:rStyle w:val="a4"/>
          <w:rFonts w:cs="Times New Roman"/>
          <w:color w:val="000000"/>
          <w:sz w:val="24"/>
          <w:shd w:val="clear" w:color="auto" w:fill="FFFFFF"/>
        </w:rPr>
      </w:pPr>
      <w:r w:rsidRPr="0071476F">
        <w:rPr>
          <w:rStyle w:val="a4"/>
          <w:rFonts w:cs="Times New Roman"/>
          <w:bCs/>
          <w:i w:val="0"/>
          <w:color w:val="000000"/>
          <w:sz w:val="24"/>
          <w:shd w:val="clear" w:color="auto" w:fill="FFFFFF"/>
          <w:vertAlign w:val="superscript"/>
        </w:rPr>
        <w:t>1</w:t>
      </w:r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>студент</w:t>
      </w:r>
    </w:p>
    <w:p w14:paraId="0171AB5F" w14:textId="03E5B811" w:rsidR="00555A65" w:rsidRDefault="00555A65" w:rsidP="0071476F">
      <w:pPr>
        <w:spacing w:after="200"/>
        <w:ind w:firstLine="426"/>
        <w:jc w:val="center"/>
        <w:rPr>
          <w:rFonts w:cs="Times New Roman"/>
          <w:i/>
          <w:iCs/>
          <w:spacing w:val="2"/>
          <w:sz w:val="24"/>
          <w:shd w:val="clear" w:color="auto" w:fill="FFFFFF"/>
        </w:rPr>
      </w:pPr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>М.В.Ломоносова</w:t>
      </w:r>
      <w:proofErr w:type="spellEnd"/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>,</w:t>
      </w:r>
      <w:r w:rsidRPr="0071476F">
        <w:rPr>
          <w:rStyle w:val="apple-converted-space"/>
          <w:rFonts w:cs="Times New Roman"/>
          <w:i/>
          <w:iCs/>
          <w:color w:val="000000"/>
          <w:sz w:val="24"/>
          <w:shd w:val="clear" w:color="auto" w:fill="FFFFFF"/>
        </w:rPr>
        <w:t> </w:t>
      </w:r>
      <w:r w:rsidRPr="0071476F">
        <w:rPr>
          <w:rFonts w:cs="Times New Roman"/>
          <w:i/>
          <w:iCs/>
          <w:color w:val="000000"/>
          <w:sz w:val="24"/>
          <w:shd w:val="clear" w:color="auto" w:fill="FFFFFF"/>
        </w:rPr>
        <w:br/>
      </w:r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>физический факультет, Москва, Россия</w:t>
      </w:r>
      <w:r w:rsidRPr="0071476F">
        <w:rPr>
          <w:rFonts w:cs="Times New Roman"/>
          <w:i/>
          <w:iCs/>
          <w:color w:val="000000"/>
          <w:sz w:val="24"/>
          <w:shd w:val="clear" w:color="auto" w:fill="FFFFFF"/>
        </w:rPr>
        <w:br/>
      </w:r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>E–</w:t>
      </w:r>
      <w:proofErr w:type="spellStart"/>
      <w:r w:rsidRPr="0071476F">
        <w:rPr>
          <w:rStyle w:val="a4"/>
          <w:rFonts w:cs="Times New Roman"/>
          <w:color w:val="000000"/>
          <w:sz w:val="24"/>
          <w:shd w:val="clear" w:color="auto" w:fill="FFFFFF"/>
        </w:rPr>
        <w:t>mail</w:t>
      </w:r>
      <w:proofErr w:type="spellEnd"/>
      <w:r w:rsidRPr="0071476F">
        <w:rPr>
          <w:rStyle w:val="a4"/>
          <w:rFonts w:cs="Times New Roman"/>
          <w:i w:val="0"/>
          <w:color w:val="000000"/>
          <w:sz w:val="24"/>
          <w:shd w:val="clear" w:color="auto" w:fill="FFFFFF"/>
        </w:rPr>
        <w:t xml:space="preserve">: </w:t>
      </w:r>
      <w:hyperlink r:id="rId5" w:history="1">
        <w:r w:rsidR="00D21D31" w:rsidRPr="0071476F">
          <w:rPr>
            <w:rStyle w:val="a3"/>
            <w:rFonts w:cs="Times New Roman"/>
            <w:i/>
            <w:iCs/>
            <w:spacing w:val="2"/>
            <w:sz w:val="24"/>
            <w:shd w:val="clear" w:color="auto" w:fill="FFFFFF"/>
          </w:rPr>
          <w:t>ushakov.da18@physics.msu.ru</w:t>
        </w:r>
      </w:hyperlink>
    </w:p>
    <w:p w14:paraId="4A43549C" w14:textId="77777777" w:rsidR="0071476F" w:rsidRPr="0071476F" w:rsidRDefault="0071476F" w:rsidP="0071476F">
      <w:pPr>
        <w:spacing w:after="200"/>
        <w:ind w:firstLine="426"/>
        <w:jc w:val="center"/>
        <w:rPr>
          <w:rFonts w:cs="Times New Roman"/>
          <w:i/>
          <w:iCs/>
          <w:spacing w:val="2"/>
          <w:sz w:val="24"/>
          <w:shd w:val="clear" w:color="auto" w:fill="FFFFFF"/>
        </w:rPr>
      </w:pPr>
    </w:p>
    <w:p w14:paraId="09D7E6A5" w14:textId="67823AB0" w:rsidR="009E2A22" w:rsidRPr="00B4409F" w:rsidRDefault="00D21D31" w:rsidP="00386E1F">
      <w:pPr>
        <w:ind w:firstLine="426"/>
        <w:rPr>
          <w:rFonts w:cs="Times New Roman"/>
          <w:sz w:val="24"/>
        </w:rPr>
      </w:pPr>
      <w:r w:rsidRPr="00B4409F">
        <w:rPr>
          <w:rFonts w:cs="Times New Roman"/>
          <w:sz w:val="24"/>
        </w:rPr>
        <w:t xml:space="preserve">Для описания вековых геомагнитных вариаций на геологических масштабах времени в последние десятилетия широко используются статистические модели, наиболее популярной из которых в настоящее время является модель </w:t>
      </w:r>
      <w:r w:rsidRPr="00B4409F">
        <w:rPr>
          <w:rFonts w:cs="Times New Roman"/>
          <w:sz w:val="24"/>
          <w:lang w:val="en-US"/>
        </w:rPr>
        <w:t>TK</w:t>
      </w:r>
      <w:r w:rsidRPr="00B4409F">
        <w:rPr>
          <w:rFonts w:cs="Times New Roman"/>
          <w:sz w:val="24"/>
        </w:rPr>
        <w:t>03 [</w:t>
      </w:r>
      <w:r w:rsidR="00FE4680" w:rsidRPr="00B4409F">
        <w:rPr>
          <w:rFonts w:cs="Times New Roman"/>
          <w:sz w:val="24"/>
        </w:rPr>
        <w:t>6</w:t>
      </w:r>
      <w:r w:rsidRPr="00B4409F">
        <w:rPr>
          <w:rFonts w:cs="Times New Roman"/>
          <w:sz w:val="24"/>
        </w:rPr>
        <w:t xml:space="preserve">].  В этой модели характер вековых вариаций описывается тремя основными параметрами – разбросом виртуальных геомагнитных полюсов </w:t>
      </w:r>
      <w:r w:rsidRPr="00B4409F">
        <w:rPr>
          <w:rFonts w:cs="Times New Roman"/>
          <w:sz w:val="24"/>
          <w:lang w:val="en-US"/>
        </w:rPr>
        <w:t>S</w:t>
      </w:r>
      <w:r w:rsidRPr="00B4409F">
        <w:rPr>
          <w:rFonts w:cs="Times New Roman"/>
          <w:sz w:val="24"/>
          <w:vertAlign w:val="subscript"/>
          <w:lang w:val="en-US"/>
        </w:rPr>
        <w:t>b</w:t>
      </w:r>
      <w:r w:rsidR="00135D6C" w:rsidRPr="00135D6C">
        <w:rPr>
          <w:rFonts w:cs="Times New Roman"/>
          <w:sz w:val="24"/>
        </w:rPr>
        <w:t xml:space="preserve">, </w:t>
      </w:r>
      <w:r w:rsidRPr="00B4409F">
        <w:rPr>
          <w:rFonts w:cs="Times New Roman"/>
          <w:sz w:val="24"/>
        </w:rPr>
        <w:t xml:space="preserve">вытянутостью распределения палеомагнитных направлений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E</m:t>
        </m:r>
      </m:oMath>
      <w:r w:rsidRPr="00B4409F">
        <w:rPr>
          <w:rFonts w:cs="Times New Roman"/>
          <w:sz w:val="24"/>
        </w:rPr>
        <w:t xml:space="preserve"> и направлением вытянутости распределения палеомагнитных направлений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>.</w:t>
      </w:r>
      <w:r w:rsidR="009E2A22" w:rsidRPr="00B4409F">
        <w:rPr>
          <w:rFonts w:cs="Times New Roman"/>
          <w:sz w:val="24"/>
        </w:rPr>
        <w:t xml:space="preserve"> Последние два параметра определяются через собственных значений (τ</w:t>
      </w:r>
      <w:proofErr w:type="gramStart"/>
      <w:r w:rsidR="009E2A22" w:rsidRPr="00B4409F">
        <w:rPr>
          <w:rFonts w:cs="Times New Roman"/>
          <w:sz w:val="24"/>
          <w:vertAlign w:val="subscript"/>
        </w:rPr>
        <w:t>1</w:t>
      </w:r>
      <w:r w:rsidR="009E2A22" w:rsidRPr="00B4409F">
        <w:rPr>
          <w:rFonts w:cs="Times New Roman"/>
          <w:sz w:val="24"/>
        </w:rPr>
        <w:t>&gt;τ</w:t>
      </w:r>
      <w:proofErr w:type="gramEnd"/>
      <w:r w:rsidR="009E2A22" w:rsidRPr="00B4409F">
        <w:rPr>
          <w:rFonts w:cs="Times New Roman"/>
          <w:sz w:val="24"/>
          <w:vertAlign w:val="subscript"/>
        </w:rPr>
        <w:t>2</w:t>
      </w:r>
      <w:r w:rsidR="009E2A22" w:rsidRPr="00B4409F">
        <w:rPr>
          <w:rFonts w:cs="Times New Roman"/>
          <w:sz w:val="24"/>
        </w:rPr>
        <w:t>&gt;τ</w:t>
      </w:r>
      <w:r w:rsidR="009E2A22" w:rsidRPr="00B4409F">
        <w:rPr>
          <w:rFonts w:cs="Times New Roman"/>
          <w:sz w:val="24"/>
          <w:vertAlign w:val="subscript"/>
        </w:rPr>
        <w:t>3</w:t>
      </w:r>
      <w:r w:rsidR="009E2A22" w:rsidRPr="00B4409F">
        <w:rPr>
          <w:rFonts w:cs="Times New Roman"/>
          <w:sz w:val="24"/>
        </w:rPr>
        <w:t>) и собственные векторы (</w:t>
      </w:r>
      <w:r w:rsidR="009E2A22" w:rsidRPr="00B4409F">
        <w:rPr>
          <w:rFonts w:cs="Times New Roman"/>
          <w:sz w:val="24"/>
          <w:lang w:val="en-US"/>
        </w:rPr>
        <w:t>V</w:t>
      </w:r>
      <w:r w:rsidR="009E2A22" w:rsidRPr="00B4409F">
        <w:rPr>
          <w:rFonts w:cs="Times New Roman"/>
          <w:sz w:val="24"/>
        </w:rPr>
        <w:t xml:space="preserve">1, </w:t>
      </w:r>
      <w:r w:rsidR="009E2A22" w:rsidRPr="00B4409F">
        <w:rPr>
          <w:rFonts w:cs="Times New Roman"/>
          <w:sz w:val="24"/>
          <w:lang w:val="en-US"/>
        </w:rPr>
        <w:t>V</w:t>
      </w:r>
      <w:r w:rsidR="009E2A22" w:rsidRPr="00B4409F">
        <w:rPr>
          <w:rFonts w:cs="Times New Roman"/>
          <w:sz w:val="24"/>
        </w:rPr>
        <w:t xml:space="preserve">2, </w:t>
      </w:r>
      <w:r w:rsidR="009E2A22" w:rsidRPr="00B4409F">
        <w:rPr>
          <w:rFonts w:cs="Times New Roman"/>
          <w:sz w:val="24"/>
          <w:lang w:val="en-US"/>
        </w:rPr>
        <w:t>V</w:t>
      </w:r>
      <w:r w:rsidR="009E2A22" w:rsidRPr="00B4409F">
        <w:rPr>
          <w:rFonts w:cs="Times New Roman"/>
          <w:sz w:val="24"/>
        </w:rPr>
        <w:t xml:space="preserve">3) ориентационной матрицы, построенной для совокупности исследуемых палеомагнитных направлений.  При этом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E</m:t>
        </m:r>
      </m:oMath>
      <w:r w:rsidR="009E2A22" w:rsidRPr="00B4409F">
        <w:rPr>
          <w:rFonts w:cs="Times New Roman"/>
          <w:sz w:val="24"/>
        </w:rPr>
        <w:t xml:space="preserve"> = τ</w:t>
      </w:r>
      <w:r w:rsidR="009E2A22" w:rsidRPr="00B4409F">
        <w:rPr>
          <w:rFonts w:cs="Times New Roman"/>
          <w:sz w:val="24"/>
          <w:vertAlign w:val="subscript"/>
        </w:rPr>
        <w:t>2</w:t>
      </w:r>
      <w:r w:rsidR="009E2A22" w:rsidRPr="00B4409F">
        <w:rPr>
          <w:rFonts w:cs="Times New Roman"/>
          <w:sz w:val="24"/>
        </w:rPr>
        <w:t>/ τ</w:t>
      </w:r>
      <w:r w:rsidR="009E2A22" w:rsidRPr="00B4409F">
        <w:rPr>
          <w:rFonts w:cs="Times New Roman"/>
          <w:sz w:val="24"/>
          <w:vertAlign w:val="subscript"/>
        </w:rPr>
        <w:t>3</w:t>
      </w:r>
      <w:r w:rsidR="009E2A22" w:rsidRPr="00B4409F">
        <w:rPr>
          <w:rFonts w:cs="Times New Roman"/>
          <w:sz w:val="24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="009E2A22" w:rsidRPr="00B4409F">
        <w:rPr>
          <w:rFonts w:cs="Times New Roman"/>
          <w:sz w:val="24"/>
        </w:rPr>
        <w:t xml:space="preserve"> -  склонение вектора </w:t>
      </w:r>
      <w:r w:rsidR="009E2A22" w:rsidRPr="00B4409F">
        <w:rPr>
          <w:rFonts w:cs="Times New Roman"/>
          <w:sz w:val="24"/>
          <w:lang w:val="en-US"/>
        </w:rPr>
        <w:t>V</w:t>
      </w:r>
      <w:r w:rsidR="009E2A22" w:rsidRPr="00B4409F">
        <w:rPr>
          <w:rFonts w:cs="Times New Roman"/>
          <w:sz w:val="24"/>
        </w:rPr>
        <w:t xml:space="preserve">2. </w:t>
      </w:r>
    </w:p>
    <w:p w14:paraId="3975C364" w14:textId="271319FE" w:rsidR="009E2A22" w:rsidRPr="00B4409F" w:rsidRDefault="00D21D31" w:rsidP="00AA46FE">
      <w:pPr>
        <w:ind w:firstLine="709"/>
        <w:rPr>
          <w:rFonts w:cs="Times New Roman"/>
          <w:sz w:val="24"/>
        </w:rPr>
      </w:pPr>
      <w:r w:rsidRPr="00B4409F">
        <w:rPr>
          <w:rFonts w:cs="Times New Roman"/>
          <w:sz w:val="24"/>
        </w:rPr>
        <w:t xml:space="preserve">Корректное использование этих параметров для описания древних вековых вариаций требует соблюдения некоторых, иногда довольно жестких условий. Эти условия были рассмотрены в ряде предшествующих публикаций применительно к параметрам </w:t>
      </w:r>
      <w:proofErr w:type="spellStart"/>
      <w:r w:rsidRPr="00B4409F">
        <w:rPr>
          <w:rFonts w:cs="Times New Roman"/>
          <w:sz w:val="24"/>
        </w:rPr>
        <w:t>Sb</w:t>
      </w:r>
      <w:proofErr w:type="spellEnd"/>
      <w:r w:rsidRPr="00B4409F">
        <w:rPr>
          <w:rFonts w:cs="Times New Roman"/>
          <w:sz w:val="24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E</m:t>
        </m:r>
      </m:oMath>
      <w:r w:rsidRPr="00B4409F">
        <w:rPr>
          <w:rFonts w:cs="Times New Roman"/>
          <w:sz w:val="24"/>
        </w:rPr>
        <w:t xml:space="preserve"> (см, например [</w:t>
      </w:r>
      <w:r w:rsidR="00C524BE" w:rsidRPr="00B4409F">
        <w:rPr>
          <w:rFonts w:cs="Times New Roman"/>
          <w:sz w:val="24"/>
        </w:rPr>
        <w:t>1,</w:t>
      </w:r>
      <w:r w:rsidRPr="00B4409F">
        <w:rPr>
          <w:rFonts w:cs="Times New Roman"/>
          <w:sz w:val="24"/>
        </w:rPr>
        <w:t xml:space="preserve"> </w:t>
      </w:r>
      <w:r w:rsidR="00C524BE" w:rsidRPr="00B4409F">
        <w:rPr>
          <w:rFonts w:cs="Times New Roman"/>
          <w:sz w:val="24"/>
        </w:rPr>
        <w:t>2,</w:t>
      </w:r>
      <w:r w:rsidRPr="00B4409F">
        <w:rPr>
          <w:rFonts w:cs="Times New Roman"/>
          <w:sz w:val="24"/>
        </w:rPr>
        <w:t xml:space="preserve"> </w:t>
      </w:r>
      <w:r w:rsidR="00C524BE" w:rsidRPr="00B4409F">
        <w:rPr>
          <w:rFonts w:cs="Times New Roman"/>
          <w:sz w:val="24"/>
        </w:rPr>
        <w:t>3,</w:t>
      </w:r>
      <w:r w:rsidRPr="00B4409F">
        <w:rPr>
          <w:rFonts w:cs="Times New Roman"/>
          <w:sz w:val="24"/>
        </w:rPr>
        <w:t xml:space="preserve"> </w:t>
      </w:r>
      <w:r w:rsidR="00C524BE" w:rsidRPr="00B4409F">
        <w:rPr>
          <w:rFonts w:cs="Times New Roman"/>
          <w:sz w:val="24"/>
        </w:rPr>
        <w:t>6, 7, 9,</w:t>
      </w:r>
      <w:r w:rsidRPr="00B4409F">
        <w:rPr>
          <w:rFonts w:cs="Times New Roman"/>
          <w:sz w:val="24"/>
        </w:rPr>
        <w:t xml:space="preserve"> и др.]), в то же время границы и условия применимости параметра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 до настоящего времени не были подробно изучены. В настоящей статье представлены результаты математического моделирования, которые позволяют оценить устойчивость расчетных значений этого </w:t>
      </w:r>
      <w:r w:rsidR="00B4409F" w:rsidRPr="00B4409F">
        <w:rPr>
          <w:rFonts w:cs="Times New Roman"/>
          <w:sz w:val="24"/>
        </w:rPr>
        <w:t>параметра в</w:t>
      </w:r>
      <w:r w:rsidR="009E2A22" w:rsidRPr="00B4409F">
        <w:rPr>
          <w:rFonts w:cs="Times New Roman"/>
          <w:sz w:val="24"/>
        </w:rPr>
        <w:t xml:space="preserve"> зависимости </w:t>
      </w:r>
      <w:r w:rsidRPr="00B4409F">
        <w:rPr>
          <w:rFonts w:cs="Times New Roman"/>
          <w:sz w:val="24"/>
        </w:rPr>
        <w:t xml:space="preserve">от широты отбора, числа использованных для его определения образцов, длины временного ряда, по которому определяется этот параметр, а также от занижения наклонения и степени осреднения, если DV2 определяется в осадочных породах. </w:t>
      </w:r>
      <w:r w:rsidR="009E2A22" w:rsidRPr="00B4409F">
        <w:rPr>
          <w:rFonts w:cs="Times New Roman"/>
          <w:sz w:val="24"/>
        </w:rPr>
        <w:t xml:space="preserve">В качестве меры устойчивости параметра 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="009E2A22" w:rsidRPr="00B4409F">
        <w:rPr>
          <w:rFonts w:cs="Times New Roman"/>
          <w:sz w:val="24"/>
        </w:rPr>
        <w:t xml:space="preserve"> в данной работе мы использовали величину доверительного интервала, внутри которого с 95%-й вероятностью попадает величина этого параметра, определенная по единичной коллекции палеомагнитных образцов, удовлетворяющей заданным условиям (например, фиксированной широте отбора, фиксированному числу образцов и </w:t>
      </w:r>
      <w:proofErr w:type="gramStart"/>
      <w:r w:rsidR="009E2A22" w:rsidRPr="00B4409F">
        <w:rPr>
          <w:rFonts w:cs="Times New Roman"/>
          <w:sz w:val="24"/>
        </w:rPr>
        <w:t>т.п.</w:t>
      </w:r>
      <w:proofErr w:type="gramEnd"/>
      <w:r w:rsidR="009E2A22" w:rsidRPr="00B4409F">
        <w:rPr>
          <w:rFonts w:cs="Times New Roman"/>
          <w:sz w:val="24"/>
        </w:rPr>
        <w:t>). Также в ходе проведенных исследований  было рассмотрено, в какой степени параметр DV2 может быть чувствительным к присутствию в суммарном геомагнитном поле экваториальной дипольной составляющей и ее характеристик.</w:t>
      </w:r>
    </w:p>
    <w:p w14:paraId="254345E9" w14:textId="1C163913" w:rsidR="00D21D31" w:rsidRPr="00B4409F" w:rsidRDefault="00D21D31" w:rsidP="00386E1F">
      <w:pPr>
        <w:ind w:firstLine="426"/>
        <w:rPr>
          <w:rFonts w:cs="Times New Roman"/>
          <w:sz w:val="24"/>
        </w:rPr>
      </w:pPr>
      <w:r w:rsidRPr="00B4409F">
        <w:rPr>
          <w:rFonts w:cs="Times New Roman"/>
          <w:sz w:val="24"/>
        </w:rPr>
        <w:t xml:space="preserve"> В результате </w:t>
      </w:r>
      <w:r w:rsidR="009E2A22" w:rsidRPr="00B4409F">
        <w:rPr>
          <w:rFonts w:cs="Times New Roman"/>
          <w:sz w:val="24"/>
        </w:rPr>
        <w:t xml:space="preserve">выполненной </w:t>
      </w:r>
      <w:r w:rsidRPr="00B4409F">
        <w:rPr>
          <w:rFonts w:cs="Times New Roman"/>
          <w:sz w:val="24"/>
        </w:rPr>
        <w:t xml:space="preserve">работы было получено: 1) Направление вытянутости распределения палеомагнитных направлений в интервале широт 10-50° довольно устойчиво, близко к меридиональному и может быть использовано как критерий соответствия этих направлений модели </w:t>
      </w:r>
      <w:r w:rsidRPr="00B4409F">
        <w:rPr>
          <w:rFonts w:cs="Times New Roman"/>
          <w:sz w:val="24"/>
          <w:lang w:val="en-US"/>
        </w:rPr>
        <w:t>TK</w:t>
      </w:r>
      <w:r w:rsidRPr="00B4409F">
        <w:rPr>
          <w:rFonts w:cs="Times New Roman"/>
          <w:sz w:val="24"/>
        </w:rPr>
        <w:t xml:space="preserve">03. В </w:t>
      </w:r>
      <w:proofErr w:type="spellStart"/>
      <w:r w:rsidRPr="00B4409F">
        <w:rPr>
          <w:rFonts w:cs="Times New Roman"/>
          <w:sz w:val="24"/>
        </w:rPr>
        <w:t>приэкваториальных</w:t>
      </w:r>
      <w:proofErr w:type="spellEnd"/>
      <w:r w:rsidRPr="00B4409F">
        <w:rPr>
          <w:rFonts w:cs="Times New Roman"/>
          <w:sz w:val="24"/>
        </w:rPr>
        <w:t xml:space="preserve"> и высоких широтах параметр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 (по разным причинам) становится неустойчив. Для оценки направления вытянутости распределений палеомагнитных направлений в </w:t>
      </w:r>
      <w:proofErr w:type="spellStart"/>
      <w:r w:rsidRPr="00B4409F">
        <w:rPr>
          <w:rFonts w:cs="Times New Roman"/>
          <w:sz w:val="24"/>
        </w:rPr>
        <w:t>приэкваториальных</w:t>
      </w:r>
      <w:proofErr w:type="spellEnd"/>
      <w:r w:rsidRPr="00B4409F">
        <w:rPr>
          <w:rFonts w:cs="Times New Roman"/>
          <w:sz w:val="24"/>
        </w:rPr>
        <w:t xml:space="preserve"> широтах предлагается использовать (с поправкой 90°) склонени</w:t>
      </w:r>
      <w:r w:rsidR="009E2A22" w:rsidRPr="00B4409F">
        <w:rPr>
          <w:rFonts w:cs="Times New Roman"/>
          <w:sz w:val="24"/>
        </w:rPr>
        <w:t>е</w:t>
      </w:r>
      <w:r w:rsidRPr="00B4409F">
        <w:rPr>
          <w:rFonts w:cs="Times New Roman"/>
          <w:sz w:val="24"/>
        </w:rPr>
        <w:t xml:space="preserve"> </w:t>
      </w:r>
      <w:r w:rsidR="009E2A22" w:rsidRPr="00B4409F">
        <w:rPr>
          <w:rFonts w:cs="Times New Roman"/>
          <w:sz w:val="24"/>
        </w:rPr>
        <w:t xml:space="preserve">собственного </w:t>
      </w:r>
      <w:r w:rsidRPr="00B4409F">
        <w:rPr>
          <w:rFonts w:cs="Times New Roman"/>
          <w:sz w:val="24"/>
        </w:rPr>
        <w:t xml:space="preserve">вектора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 w:rsidR="009E2A22" w:rsidRPr="00B4409F">
        <w:rPr>
          <w:rFonts w:cs="Times New Roman"/>
          <w:sz w:val="24"/>
        </w:rPr>
        <w:t xml:space="preserve">  ориентационной матрицы</w:t>
      </w:r>
      <w:r w:rsidRPr="00B4409F">
        <w:rPr>
          <w:rFonts w:cs="Times New Roman"/>
          <w:sz w:val="24"/>
        </w:rPr>
        <w:t xml:space="preserve">; 2) Надежное определение параметра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 требует коллекций, размер которых составляет не менее 400-500 образцов; 3) Занижение наклонения в осадочных породах может привести к существенной неопределенности при определении параметра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. При коррекции занижения наклонения методом </w:t>
      </w:r>
      <m:oMath>
        <m:f>
          <m:fPr>
            <m:type m:val="lin"/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den>
        </m:f>
      </m:oMath>
      <w:r w:rsidRPr="00B4409F">
        <w:rPr>
          <w:rFonts w:cs="Times New Roman"/>
          <w:sz w:val="24"/>
        </w:rPr>
        <w:t xml:space="preserve"> необходимо учитывать значение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, которое после проведения коррекции должно быть близко к 180° для не испытавших перемещения тектонических блоков и к склонению среднего палеомагнитного направления, для блоков, изменивших свое положение относительно меридиана на протяжении своей геологической истории; 4) Усреднение записи </w:t>
      </w:r>
      <w:r w:rsidRPr="00B4409F">
        <w:rPr>
          <w:rFonts w:cs="Times New Roman"/>
          <w:sz w:val="24"/>
        </w:rPr>
        <w:lastRenderedPageBreak/>
        <w:t xml:space="preserve">геомагнитного сигнала в осадочных породах приводит к повышению устойчивости параметра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; 5) Смена осей аксиального и экваториального диполей при сохранении неизменным (отвечающим модели TK03) вклада </w:t>
      </w:r>
      <w:proofErr w:type="spellStart"/>
      <w:r w:rsidRPr="00B4409F">
        <w:rPr>
          <w:rFonts w:cs="Times New Roman"/>
          <w:sz w:val="24"/>
        </w:rPr>
        <w:t>недипольных</w:t>
      </w:r>
      <w:proofErr w:type="spellEnd"/>
      <w:r w:rsidRPr="00B4409F">
        <w:rPr>
          <w:rFonts w:cs="Times New Roman"/>
          <w:sz w:val="24"/>
        </w:rPr>
        <w:t xml:space="preserve"> компонент приводит к тому, что направление вытянутости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 начинает на ~90° отличаться от среднего направления распределения палеомагнитных направлений. В этом случае, вытянутое по склонению распределение палеомагнитных направлений в древних разрезах может отражать существенный вклад в суммарное поле экваториального диполя; 6) При увеличении дисперсии экваториального диполя относительно модели TK03 происходит быстрое снижение устойчивости определения параметра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; 7) Параметр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 чувствителен к вкладу экваториального диполя, даже умеренное увеличение этого вклада приводит к заметному отличию склонений среднего направления палеомагнитных распределений и их вытянутости.</w:t>
      </w:r>
    </w:p>
    <w:p w14:paraId="5F16C2E7" w14:textId="2736DF2E" w:rsidR="00F16E7A" w:rsidRDefault="009E2A22" w:rsidP="009E2A22">
      <w:pPr>
        <w:ind w:firstLine="426"/>
        <w:rPr>
          <w:rFonts w:cs="Times New Roman"/>
          <w:sz w:val="24"/>
        </w:rPr>
      </w:pPr>
      <w:r w:rsidRPr="00B4409F">
        <w:rPr>
          <w:rFonts w:cs="Times New Roman"/>
          <w:sz w:val="24"/>
        </w:rPr>
        <w:t xml:space="preserve">Полученные результаты очерчивают необходимые условия, при которых возможно </w:t>
      </w:r>
      <w:proofErr w:type="gramStart"/>
      <w:r w:rsidRPr="00B4409F">
        <w:rPr>
          <w:rFonts w:cs="Times New Roman"/>
          <w:sz w:val="24"/>
        </w:rPr>
        <w:t>использование  параметра</w:t>
      </w:r>
      <w:proofErr w:type="gramEnd"/>
      <w:r w:rsidRPr="00B4409F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sub>
        </m:sSub>
      </m:oMath>
      <w:r w:rsidRPr="00B4409F">
        <w:rPr>
          <w:rFonts w:cs="Times New Roman"/>
          <w:sz w:val="24"/>
        </w:rPr>
        <w:t xml:space="preserve"> для изучения эволюции вековых геомагнитных вариаций на протяжении геологической истории.</w:t>
      </w:r>
    </w:p>
    <w:p w14:paraId="14122E5A" w14:textId="77777777" w:rsidR="008D285A" w:rsidRDefault="008D285A" w:rsidP="009E2A22">
      <w:pPr>
        <w:ind w:firstLine="426"/>
        <w:rPr>
          <w:rFonts w:cs="Times New Roman"/>
          <w:sz w:val="24"/>
        </w:rPr>
      </w:pPr>
    </w:p>
    <w:p w14:paraId="53A77850" w14:textId="46F905A9" w:rsidR="008D285A" w:rsidRDefault="008D285A" w:rsidP="008D285A">
      <w:pPr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Финансирование работы</w:t>
      </w:r>
    </w:p>
    <w:p w14:paraId="6D3773BB" w14:textId="7C2B338F" w:rsidR="008D285A" w:rsidRPr="008D285A" w:rsidRDefault="008D285A" w:rsidP="008D285A">
      <w:pPr>
        <w:rPr>
          <w:rFonts w:cs="Times New Roman"/>
          <w:sz w:val="24"/>
        </w:rPr>
      </w:pPr>
      <w:r w:rsidRPr="008D285A">
        <w:rPr>
          <w:color w:val="222222"/>
          <w:sz w:val="24"/>
          <w:shd w:val="clear" w:color="auto" w:fill="FFFFFF"/>
        </w:rPr>
        <w:t>Работа выполнена при финансовой поддержке </w:t>
      </w:r>
      <w:r w:rsidRPr="008D285A">
        <w:rPr>
          <w:rStyle w:val="il"/>
          <w:color w:val="222222"/>
          <w:sz w:val="24"/>
          <w:shd w:val="clear" w:color="auto" w:fill="FFFFFF"/>
        </w:rPr>
        <w:t>гранта</w:t>
      </w:r>
      <w:r w:rsidRPr="008D285A">
        <w:rPr>
          <w:color w:val="222222"/>
          <w:sz w:val="24"/>
          <w:shd w:val="clear" w:color="auto" w:fill="FFFFFF"/>
        </w:rPr>
        <w:t> </w:t>
      </w:r>
      <w:r w:rsidRPr="008D285A">
        <w:rPr>
          <w:rStyle w:val="il"/>
          <w:color w:val="222222"/>
          <w:sz w:val="24"/>
          <w:shd w:val="clear" w:color="auto" w:fill="FFFFFF"/>
        </w:rPr>
        <w:t>РНФ</w:t>
      </w:r>
      <w:r w:rsidRPr="008D285A">
        <w:rPr>
          <w:color w:val="222222"/>
          <w:sz w:val="24"/>
          <w:shd w:val="clear" w:color="auto" w:fill="FFFFFF"/>
        </w:rPr>
        <w:t> </w:t>
      </w:r>
      <w:proofErr w:type="gramStart"/>
      <w:r w:rsidRPr="008D285A">
        <w:rPr>
          <w:color w:val="222222"/>
          <w:sz w:val="24"/>
          <w:shd w:val="clear" w:color="auto" w:fill="FFFFFF"/>
        </w:rPr>
        <w:t>№23-17-000112</w:t>
      </w:r>
      <w:proofErr w:type="gramEnd"/>
    </w:p>
    <w:p w14:paraId="25BF2390" w14:textId="77777777" w:rsidR="009E2A22" w:rsidRPr="009E2A22" w:rsidRDefault="009E2A22" w:rsidP="0071476F">
      <w:pPr>
        <w:rPr>
          <w:rFonts w:cs="Times New Roman"/>
          <w:color w:val="FF0000"/>
          <w:sz w:val="24"/>
        </w:rPr>
      </w:pPr>
    </w:p>
    <w:p w14:paraId="1AF18DE1" w14:textId="639EC012" w:rsidR="001362D8" w:rsidRPr="008E7F5C" w:rsidRDefault="008E7F5C" w:rsidP="0071476F">
      <w:pPr>
        <w:spacing w:after="160"/>
        <w:jc w:val="left"/>
        <w:rPr>
          <w:rFonts w:cs="Times New Roman"/>
          <w:b/>
          <w:bCs/>
          <w:sz w:val="24"/>
          <w:lang w:val="en-US"/>
        </w:rPr>
      </w:pPr>
      <w:r w:rsidRPr="008E7F5C">
        <w:rPr>
          <w:rFonts w:cs="Times New Roman"/>
          <w:b/>
          <w:bCs/>
          <w:sz w:val="24"/>
        </w:rPr>
        <w:t>Литература</w:t>
      </w:r>
      <w:r w:rsidRPr="008E7F5C">
        <w:rPr>
          <w:rFonts w:cs="Times New Roman"/>
          <w:b/>
          <w:bCs/>
          <w:sz w:val="24"/>
          <w:lang w:val="en-US"/>
        </w:rPr>
        <w:t>.</w:t>
      </w:r>
    </w:p>
    <w:p w14:paraId="3FDCBC31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r w:rsidRPr="0071476F">
        <w:rPr>
          <w:rFonts w:eastAsia="Times New Roman"/>
          <w:sz w:val="24"/>
          <w:szCs w:val="24"/>
          <w:lang w:val="en-US" w:eastAsia="ru-RU"/>
        </w:rPr>
        <w:t xml:space="preserve">Biggin A. J., van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Hinsbergen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D. J. J.,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Langereis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C. G., Straathof G. B.,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Deenen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M. H. L. Geomagnetic secular variation in the Cretaceous Normal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Superchron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and in the Jurassic // Physics of the Earth and Planetary Interiors.  </w:t>
      </w:r>
      <w:r w:rsidRPr="0071476F">
        <w:rPr>
          <w:rFonts w:eastAsia="Times New Roman"/>
          <w:sz w:val="24"/>
          <w:szCs w:val="24"/>
          <w:lang w:eastAsia="ru-RU"/>
        </w:rPr>
        <w:t>V. 169 (1–4). 2008. P. 3–19.</w:t>
      </w:r>
    </w:p>
    <w:p w14:paraId="122C7A45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r w:rsidRPr="0071476F">
        <w:rPr>
          <w:rFonts w:eastAsia="Times New Roman"/>
          <w:sz w:val="24"/>
          <w:szCs w:val="24"/>
          <w:lang w:val="en-US" w:eastAsia="ru-RU"/>
        </w:rPr>
        <w:t xml:space="preserve">M. H. L.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Deenen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, C. G.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Langereis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, D. J. J. van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Hinsbergen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, A. J. Biggin, Geomagnetic secular variation and the statistics of palaeomagnetic directions.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Geophys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>. J. Int. 186,509–520 (2011).</w:t>
      </w:r>
    </w:p>
    <w:p w14:paraId="4F5B7412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Doubrovine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P. V.,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Veikkolainen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T., Pesonen L. J., </w:t>
      </w: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Piispa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E., Ots S., Smirnov A. V., Kulakov E. V., Biggin A.J. Latitude dependence of geomagnetic paleosecular variation and its relation to the frequency of magnetic reversals: Observations from the Cretaceous and Jurassic // Geochemistry, Geophysics, Geosystems. </w:t>
      </w:r>
      <w:r w:rsidRPr="0071476F">
        <w:rPr>
          <w:rFonts w:eastAsia="Times New Roman"/>
          <w:sz w:val="24"/>
          <w:szCs w:val="24"/>
          <w:lang w:eastAsia="ru-RU"/>
        </w:rPr>
        <w:t>2019. V. 20, P. 1240–1279.</w:t>
      </w:r>
    </w:p>
    <w:p w14:paraId="0280A990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r w:rsidRPr="0071476F">
        <w:rPr>
          <w:rFonts w:eastAsia="Times New Roman"/>
          <w:sz w:val="24"/>
          <w:szCs w:val="24"/>
          <w:lang w:val="en-US" w:eastAsia="ru-RU"/>
        </w:rPr>
        <w:t xml:space="preserve">King, R.F., 1955. Remanent magnetism of artificially deposited </w:t>
      </w:r>
      <w:proofErr w:type="spellStart"/>
      <w:proofErr w:type="gramStart"/>
      <w:r w:rsidRPr="0071476F">
        <w:rPr>
          <w:rFonts w:eastAsia="Times New Roman"/>
          <w:sz w:val="24"/>
          <w:szCs w:val="24"/>
          <w:lang w:val="en-US" w:eastAsia="ru-RU"/>
        </w:rPr>
        <w:t>sediments,Mon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>.</w:t>
      </w:r>
      <w:proofErr w:type="gramEnd"/>
      <w:r w:rsidRPr="0071476F">
        <w:rPr>
          <w:rFonts w:eastAsia="Times New Roman"/>
          <w:sz w:val="24"/>
          <w:szCs w:val="24"/>
          <w:lang w:val="en-US" w:eastAsia="ru-RU"/>
        </w:rPr>
        <w:t xml:space="preserve"> Not. R. Astron.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Soc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Geophys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Suppl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>., 7, 115–134.</w:t>
      </w:r>
    </w:p>
    <w:p w14:paraId="1CF5B6AE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Tauxe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gramStart"/>
      <w:r w:rsidRPr="0071476F">
        <w:rPr>
          <w:rFonts w:eastAsia="Times New Roman"/>
          <w:sz w:val="24"/>
          <w:szCs w:val="24"/>
          <w:lang w:val="en-US" w:eastAsia="ru-RU"/>
        </w:rPr>
        <w:t>L..</w:t>
      </w:r>
      <w:proofErr w:type="gramEnd"/>
      <w:r w:rsidRPr="0071476F">
        <w:rPr>
          <w:rFonts w:eastAsia="Times New Roman"/>
          <w:sz w:val="24"/>
          <w:szCs w:val="24"/>
          <w:lang w:val="en-US" w:eastAsia="ru-RU"/>
        </w:rPr>
        <w:t xml:space="preserve"> Essentials of Paleomagnetism. Univ of California Press, Mar 19, 2010, </w:t>
      </w:r>
      <w:hyperlink r:id="rId6">
        <w:r w:rsidRPr="0071476F">
          <w:rPr>
            <w:rFonts w:eastAsia="Times New Roman"/>
            <w:sz w:val="24"/>
            <w:szCs w:val="24"/>
            <w:lang w:val="en-US" w:eastAsia="ru-RU"/>
          </w:rPr>
          <w:t>Science</w:t>
        </w:r>
      </w:hyperlink>
      <w:hyperlink r:id="rId7">
        <w:r w:rsidRPr="0071476F">
          <w:rPr>
            <w:rFonts w:eastAsia="Times New Roman"/>
            <w:sz w:val="24"/>
            <w:szCs w:val="24"/>
            <w:lang w:val="en-US" w:eastAsia="ru-RU"/>
          </w:rPr>
          <w:t xml:space="preserve"> </w:t>
        </w:r>
      </w:hyperlink>
      <w:r w:rsidRPr="0071476F">
        <w:rPr>
          <w:rFonts w:eastAsia="Times New Roman"/>
          <w:sz w:val="24"/>
          <w:szCs w:val="24"/>
          <w:lang w:val="en-US" w:eastAsia="ru-RU"/>
        </w:rPr>
        <w:t xml:space="preserve">- 489 p. </w:t>
      </w:r>
    </w:p>
    <w:p w14:paraId="196E01FD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Tauxe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L., Kent D. A simplified statistical model for the geomagnetic field and the detection of shallow bias in paleomagnetic inclinations: Was the ancient magnetic field dipolar? / Timescales of the Internal Geomagnetic Field. Geophysical Monograph Series. V. 145. Ed. Channell J.E.T., Kent D.V., Lowrie W., Meert J.G. AGU. P. 101–115. </w:t>
      </w:r>
      <w:r w:rsidRPr="0071476F">
        <w:rPr>
          <w:rFonts w:eastAsia="Times New Roman"/>
          <w:sz w:val="24"/>
          <w:szCs w:val="24"/>
          <w:lang w:eastAsia="ru-RU"/>
        </w:rPr>
        <w:t>2004.</w:t>
      </w:r>
    </w:p>
    <w:p w14:paraId="2C4F0A0C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Tauxe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L., Kodama K., Kent D. V. Testing corrections for paleomagnetic inclination error in sedimentary rocks: a comparative approach / J. Phys. </w:t>
      </w:r>
      <w:r w:rsidRPr="0071476F">
        <w:rPr>
          <w:rFonts w:eastAsia="Times New Roman"/>
          <w:sz w:val="24"/>
          <w:szCs w:val="24"/>
          <w:lang w:eastAsia="ru-RU"/>
        </w:rPr>
        <w:t xml:space="preserve">Earth Planet. V. 169. P. 152–165.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doi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>: 10.1016/j.pepi.2008.05.006. 2008.</w:t>
      </w:r>
    </w:p>
    <w:p w14:paraId="6F413E9B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proofErr w:type="spellStart"/>
      <w:r w:rsidRPr="0071476F">
        <w:rPr>
          <w:rFonts w:eastAsia="Times New Roman"/>
          <w:sz w:val="24"/>
          <w:szCs w:val="24"/>
          <w:lang w:val="en-US" w:eastAsia="ru-RU"/>
        </w:rPr>
        <w:t>Tauxe</w:t>
      </w:r>
      <w:proofErr w:type="spellEnd"/>
      <w:r w:rsidRPr="0071476F">
        <w:rPr>
          <w:rFonts w:eastAsia="Times New Roman"/>
          <w:sz w:val="24"/>
          <w:szCs w:val="24"/>
          <w:lang w:val="en-US" w:eastAsia="ru-RU"/>
        </w:rPr>
        <w:t xml:space="preserve"> L., Kodama K.  Paleosecular variation models for ancient times: Clues from Keweenawan lava flows.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Physics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of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the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 Earth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and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Planetary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Interiors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 xml:space="preserve"> 177 (2009) 31–45</w:t>
      </w:r>
    </w:p>
    <w:p w14:paraId="350BAEC1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r w:rsidRPr="0071476F">
        <w:rPr>
          <w:rFonts w:eastAsia="Times New Roman"/>
          <w:sz w:val="24"/>
          <w:szCs w:val="24"/>
          <w:lang w:eastAsia="ru-RU"/>
        </w:rPr>
        <w:t xml:space="preserve">Павлов В.Э., Ш. Р. </w:t>
      </w:r>
      <w:proofErr w:type="spellStart"/>
      <w:r w:rsidRPr="0071476F">
        <w:rPr>
          <w:rFonts w:eastAsia="Times New Roman"/>
          <w:sz w:val="24"/>
          <w:szCs w:val="24"/>
          <w:lang w:eastAsia="ru-RU"/>
        </w:rPr>
        <w:t>Богоутдинов</w:t>
      </w:r>
      <w:proofErr w:type="spellEnd"/>
      <w:r w:rsidRPr="0071476F">
        <w:rPr>
          <w:rFonts w:eastAsia="Times New Roman"/>
          <w:sz w:val="24"/>
          <w:szCs w:val="24"/>
          <w:lang w:eastAsia="ru-RU"/>
        </w:rPr>
        <w:t>, О. А. Мещерякова.  Влияние факторов, искажающих палеомагнитную запись, на оценку параметров древних вековых геомагнитных вариаций по результатам послойных исследований осадочных разрезов. ГЕОМАГНЕТИЗМ И АЭРОНОМИЯ, 2021, том 61, № 3, с. 390–407.</w:t>
      </w:r>
    </w:p>
    <w:p w14:paraId="1C3BF210" w14:textId="77777777" w:rsidR="001362D8" w:rsidRPr="0071476F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r w:rsidRPr="0071476F">
        <w:rPr>
          <w:rFonts w:eastAsia="Times New Roman"/>
          <w:sz w:val="24"/>
          <w:szCs w:val="24"/>
          <w:lang w:eastAsia="ru-RU"/>
        </w:rPr>
        <w:t>Хохлов А.В. Моделирование вековых геомагнитных вариаций. Принципы и реализация. // Геофизические исследования. 2012. Т.13. №2. С.50-61.</w:t>
      </w:r>
    </w:p>
    <w:p w14:paraId="75873486" w14:textId="4CB19446" w:rsidR="00D21D31" w:rsidRPr="00135D6C" w:rsidRDefault="001362D8" w:rsidP="0071476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80" w:hanging="680"/>
        <w:rPr>
          <w:rFonts w:eastAsia="Times New Roman"/>
          <w:sz w:val="24"/>
          <w:szCs w:val="24"/>
          <w:lang w:eastAsia="ru-RU"/>
        </w:rPr>
      </w:pPr>
      <w:r w:rsidRPr="0071476F">
        <w:rPr>
          <w:rFonts w:eastAsia="Times New Roman"/>
          <w:sz w:val="24"/>
          <w:szCs w:val="24"/>
          <w:lang w:eastAsia="ru-RU"/>
        </w:rPr>
        <w:t>Храмов А.Н. Геомагнитные инверсии в палеозое: переходное поле, полярная асимметрия и мантийная конвекция // Физика Земли. 2007. № 10. С. 4–14.</w:t>
      </w:r>
    </w:p>
    <w:sectPr w:rsidR="00D21D31" w:rsidRPr="0013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5EC"/>
    <w:multiLevelType w:val="hybridMultilevel"/>
    <w:tmpl w:val="B74ED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8E1EA6"/>
    <w:multiLevelType w:val="hybridMultilevel"/>
    <w:tmpl w:val="B74ED3C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A600FC"/>
    <w:multiLevelType w:val="hybridMultilevel"/>
    <w:tmpl w:val="56509B68"/>
    <w:lvl w:ilvl="0" w:tplc="31E69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368039">
    <w:abstractNumId w:val="2"/>
  </w:num>
  <w:num w:numId="2" w16cid:durableId="867841031">
    <w:abstractNumId w:val="0"/>
  </w:num>
  <w:num w:numId="3" w16cid:durableId="125385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9E3"/>
    <w:rsid w:val="00050962"/>
    <w:rsid w:val="0009523C"/>
    <w:rsid w:val="000A5351"/>
    <w:rsid w:val="00112EE6"/>
    <w:rsid w:val="00135D6C"/>
    <w:rsid w:val="001362D8"/>
    <w:rsid w:val="00386E1F"/>
    <w:rsid w:val="004451F8"/>
    <w:rsid w:val="00555A65"/>
    <w:rsid w:val="0071476F"/>
    <w:rsid w:val="008D285A"/>
    <w:rsid w:val="008E7F5C"/>
    <w:rsid w:val="009E2A22"/>
    <w:rsid w:val="00A929E3"/>
    <w:rsid w:val="00AA46FE"/>
    <w:rsid w:val="00B16659"/>
    <w:rsid w:val="00B4409F"/>
    <w:rsid w:val="00BA368E"/>
    <w:rsid w:val="00C07903"/>
    <w:rsid w:val="00C524BE"/>
    <w:rsid w:val="00D21D31"/>
    <w:rsid w:val="00DF3AE2"/>
    <w:rsid w:val="00F16E7A"/>
    <w:rsid w:val="00FC6E03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27E4"/>
  <w15:docId w15:val="{90B657EC-B3FF-4010-B036-76095BD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31"/>
    <w:pPr>
      <w:spacing w:after="0" w:line="240" w:lineRule="auto"/>
      <w:jc w:val="both"/>
    </w:pPr>
    <w:rPr>
      <w:rFonts w:ascii="Times New Roman" w:eastAsiaTheme="minorEastAsia" w:hAnsi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9E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55A65"/>
  </w:style>
  <w:style w:type="character" w:styleId="a4">
    <w:name w:val="Emphasis"/>
    <w:basedOn w:val="a0"/>
    <w:qFormat/>
    <w:rsid w:val="00555A65"/>
    <w:rPr>
      <w:i/>
      <w:iCs/>
    </w:rPr>
  </w:style>
  <w:style w:type="character" w:styleId="a5">
    <w:name w:val="Placeholder Text"/>
    <w:basedOn w:val="a0"/>
    <w:uiPriority w:val="99"/>
    <w:semiHidden/>
    <w:rsid w:val="00D21D31"/>
    <w:rPr>
      <w:color w:val="66666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1D3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21D31"/>
    <w:pPr>
      <w:spacing w:after="160" w:line="259" w:lineRule="auto"/>
      <w:ind w:left="720"/>
      <w:contextualSpacing/>
    </w:pPr>
    <w:rPr>
      <w:rFonts w:eastAsiaTheme="minorHAnsi" w:cs="Times New Roman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2A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A22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styleId="a9">
    <w:name w:val="Subtle Emphasis"/>
    <w:basedOn w:val="a0"/>
    <w:uiPriority w:val="19"/>
    <w:qFormat/>
    <w:rsid w:val="00AA46FE"/>
    <w:rPr>
      <w:i/>
      <w:iCs/>
      <w:color w:val="404040" w:themeColor="text1" w:themeTint="BF"/>
    </w:rPr>
  </w:style>
  <w:style w:type="character" w:customStyle="1" w:styleId="il">
    <w:name w:val="il"/>
    <w:basedOn w:val="a0"/>
    <w:rsid w:val="008D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tbo=p&amp;tbm=bks&amp;q=subject:%22Science%22&amp;source=gbs_ge_summary_r&amp;ca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tbo=p&amp;tbm=bks&amp;q=subject:%22Science%22&amp;source=gbs_ge_summary_r&amp;cad=0" TargetMode="External"/><Relationship Id="rId5" Type="http://schemas.openxmlformats.org/officeDocument/2006/relationships/hyperlink" Target="mailto:ushakov.da18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Ушакова</dc:creator>
  <cp:lastModifiedBy>Анна Ушакова</cp:lastModifiedBy>
  <cp:revision>6</cp:revision>
  <dcterms:created xsi:type="dcterms:W3CDTF">2024-02-15T17:51:00Z</dcterms:created>
  <dcterms:modified xsi:type="dcterms:W3CDTF">2024-02-15T18:51:00Z</dcterms:modified>
</cp:coreProperties>
</file>