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7E3C" w14:textId="77777777" w:rsidR="006806D2" w:rsidRDefault="006806D2" w:rsidP="006806D2">
      <w:pPr>
        <w:pStyle w:val="papertitle"/>
        <w:spacing w:after="0"/>
        <w:ind w:firstLine="425"/>
        <w:rPr>
          <w:rFonts w:eastAsia="SimSun"/>
          <w:b/>
          <w:bCs/>
          <w:noProof w:val="0"/>
          <w:sz w:val="24"/>
          <w:szCs w:val="24"/>
          <w:lang w:val="ru-RU"/>
        </w:rPr>
      </w:pPr>
      <w:r>
        <w:rPr>
          <w:rFonts w:eastAsia="SimSun"/>
          <w:b/>
          <w:bCs/>
          <w:noProof w:val="0"/>
          <w:sz w:val="24"/>
          <w:szCs w:val="24"/>
          <w:lang w:val="ru-RU"/>
        </w:rPr>
        <w:t>Экспресс-метод контроля состояния почек для определения поражения на ранней стадии</w:t>
      </w:r>
    </w:p>
    <w:p w14:paraId="25BC31B1" w14:textId="6BF52A45" w:rsidR="00522CE2" w:rsidRPr="00BC53DF" w:rsidRDefault="00522CE2" w:rsidP="00522CE2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Вакорина Д.В</w:t>
      </w:r>
      <w:r w:rsidRPr="00BC53DF">
        <w:rPr>
          <w:rStyle w:val="a3"/>
          <w:b/>
          <w:bCs/>
          <w:color w:val="000000"/>
          <w:shd w:val="clear" w:color="auto" w:fill="FFFFFF"/>
        </w:rPr>
        <w:t>.</w:t>
      </w:r>
      <w:r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9832F5">
        <w:rPr>
          <w:rStyle w:val="a3"/>
          <w:b/>
          <w:bCs/>
          <w:color w:val="000000"/>
          <w:shd w:val="clear" w:color="auto" w:fill="FFFFFF"/>
        </w:rPr>
        <w:t xml:space="preserve">, </w:t>
      </w:r>
      <w:r>
        <w:rPr>
          <w:b/>
          <w:i/>
        </w:rPr>
        <w:t>Давыдова Д.В</w:t>
      </w:r>
      <w:r w:rsidRPr="00BC53DF">
        <w:rPr>
          <w:b/>
          <w:i/>
        </w:rPr>
        <w:t>.</w:t>
      </w:r>
      <w:r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14:paraId="3FCB21C0" w14:textId="2A639D27" w:rsidR="00522CE2" w:rsidRDefault="00522CE2" w:rsidP="00522CE2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</w:t>
      </w:r>
      <w:r>
        <w:rPr>
          <w:rStyle w:val="a3"/>
          <w:color w:val="000000"/>
          <w:shd w:val="clear" w:color="auto" w:fill="FFFFFF"/>
        </w:rPr>
        <w:t>т</w:t>
      </w:r>
      <w:r w:rsidR="009832F5">
        <w:rPr>
          <w:rStyle w:val="a3"/>
          <w:color w:val="000000"/>
          <w:shd w:val="clear" w:color="auto" w:fill="FFFFFF"/>
        </w:rPr>
        <w:t>ы</w:t>
      </w:r>
    </w:p>
    <w:p w14:paraId="6EDAA368" w14:textId="77777777" w:rsidR="00522CE2" w:rsidRDefault="00522CE2" w:rsidP="006806D2">
      <w:pPr>
        <w:ind w:firstLine="425"/>
        <w:jc w:val="center"/>
        <w:rPr>
          <w:i/>
          <w:iCs/>
        </w:rPr>
      </w:pPr>
      <w:r>
        <w:rPr>
          <w:i/>
          <w:iCs/>
        </w:rPr>
        <w:t>Санкт-Петербургский государственный университет телекоммуникаций им. проф. М.А. Бонч-Бруевича, факультет инфокоммуникационных сетей и систем, Санкт-Петербург, Россия</w:t>
      </w:r>
      <w:r w:rsidRPr="00EB799A">
        <w:rPr>
          <w:i/>
          <w:iCs/>
          <w:vertAlign w:val="superscript"/>
        </w:rPr>
        <w:t>1</w:t>
      </w:r>
    </w:p>
    <w:p w14:paraId="54BBB2C2" w14:textId="335FFD57" w:rsidR="00522CE2" w:rsidRDefault="00522CE2" w:rsidP="006806D2">
      <w:pPr>
        <w:ind w:firstLine="425"/>
        <w:jc w:val="center"/>
        <w:rPr>
          <w:i/>
          <w:iCs/>
        </w:rPr>
      </w:pPr>
      <w:r>
        <w:rPr>
          <w:i/>
          <w:iCs/>
          <w:color w:val="222222"/>
          <w:shd w:val="clear" w:color="auto" w:fill="FFFFFF"/>
        </w:rPr>
        <w:t>Санкт-Петербургский политехнический университет Петра Великого,</w:t>
      </w:r>
      <w:r w:rsidR="000456E6" w:rsidRPr="000456E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456E6">
        <w:rPr>
          <w:i/>
          <w:iCs/>
          <w:color w:val="222222"/>
          <w:shd w:val="clear" w:color="auto" w:fill="FFFFFF"/>
        </w:rPr>
        <w:t>и</w:t>
      </w:r>
      <w:r w:rsidR="000456E6" w:rsidRPr="000456E6">
        <w:rPr>
          <w:i/>
          <w:iCs/>
          <w:color w:val="222222"/>
          <w:shd w:val="clear" w:color="auto" w:fill="FFFFFF"/>
        </w:rPr>
        <w:t>нститут компьютерных наук и кибербезопасности,</w:t>
      </w:r>
      <w:r w:rsidRPr="000456E6">
        <w:rPr>
          <w:i/>
          <w:iCs/>
          <w:color w:val="222222"/>
          <w:shd w:val="clear" w:color="auto" w:fill="FFFFFF"/>
        </w:rPr>
        <w:t xml:space="preserve"> </w:t>
      </w:r>
      <w:r>
        <w:rPr>
          <w:i/>
          <w:iCs/>
          <w:color w:val="222222"/>
          <w:shd w:val="clear" w:color="auto" w:fill="FFFFFF"/>
        </w:rPr>
        <w:t>Санкт-Петербург, Россия</w:t>
      </w:r>
      <w:r w:rsidRPr="00EB799A">
        <w:rPr>
          <w:i/>
          <w:iCs/>
          <w:color w:val="222222"/>
          <w:shd w:val="clear" w:color="auto" w:fill="FFFFFF"/>
          <w:vertAlign w:val="superscript"/>
        </w:rPr>
        <w:t>2</w:t>
      </w:r>
    </w:p>
    <w:p w14:paraId="3FC59E8F" w14:textId="77777777" w:rsidR="00522CE2" w:rsidRPr="00EB799A" w:rsidRDefault="00522CE2" w:rsidP="006806D2">
      <w:pPr>
        <w:spacing w:after="200"/>
        <w:ind w:firstLine="425"/>
        <w:jc w:val="center"/>
        <w:rPr>
          <w:rStyle w:val="a3"/>
          <w:color w:val="000000"/>
          <w:shd w:val="clear" w:color="auto" w:fill="FFFFFF"/>
          <w:lang w:val="en-US"/>
        </w:rPr>
      </w:pPr>
      <w:r w:rsidRPr="00EB799A">
        <w:rPr>
          <w:rStyle w:val="a3"/>
          <w:color w:val="000000"/>
          <w:shd w:val="clear" w:color="auto" w:fill="FFFFFF"/>
          <w:lang w:val="en-US"/>
        </w:rPr>
        <w:t>E–mail</w:t>
      </w:r>
      <w:r w:rsidRPr="00EB799A">
        <w:rPr>
          <w:rStyle w:val="a3"/>
          <w:i w:val="0"/>
          <w:color w:val="000000"/>
          <w:shd w:val="clear" w:color="auto" w:fill="FFFFFF"/>
          <w:lang w:val="en-US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cementary</w:t>
      </w:r>
      <w:r w:rsidRPr="00EB799A">
        <w:rPr>
          <w:rStyle w:val="a3"/>
          <w:color w:val="000000"/>
          <w:shd w:val="clear" w:color="auto" w:fill="FFFFFF"/>
          <w:lang w:val="en-US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ley@gmail.com</w:t>
      </w:r>
    </w:p>
    <w:p w14:paraId="1B60A4E0" w14:textId="77777777" w:rsidR="00522CE2" w:rsidRPr="00522CE2" w:rsidRDefault="00522CE2" w:rsidP="00522CE2">
      <w:pPr>
        <w:ind w:firstLine="397"/>
        <w:jc w:val="center"/>
      </w:pPr>
      <w:r w:rsidRPr="00522CE2">
        <w:t>Введение</w:t>
      </w:r>
    </w:p>
    <w:p w14:paraId="65A1DF71" w14:textId="028C2273" w:rsidR="00522CE2" w:rsidRPr="0008171B" w:rsidRDefault="00522CE2" w:rsidP="006806D2">
      <w:pPr>
        <w:ind w:firstLine="397"/>
        <w:jc w:val="both"/>
      </w:pPr>
      <w:r w:rsidRPr="0008171B">
        <w:t>В современном мире болезнь почек после сердечно-сосудистых заболеваний выходит на второе место у людей, как основная причина смерти. Российская Федерация не исключение.</w:t>
      </w:r>
      <w:r w:rsidR="000456E6">
        <w:t xml:space="preserve"> </w:t>
      </w:r>
      <w:r w:rsidRPr="0008171B">
        <w:t>Факторов, которые сейчас в мире влияют на увеличение числа случаев заболевания почек с образованием в них камней различных размеров у людей достаточно много. Они начинаются с экологии, неправильного питания по причине перегрузок на работе, высокого уровня стрессовых ситуаций и прочие. Многие люди не замечают начала поражения почек и образование камней на первичной стадии болезни. Человек в это время может себя неплохо чувствовать и быть работоспособным, временно возникающее недомогание люди связывают с другими причинами. Проведенные врачами исследования показали, чем раньше будет выявлено поражение почек, тем более эффективным и успешным будет курс их лечения. Вероятность восстановления почти всех функций почек увеличивается с тем на какой стадии было обнаружено поражение почек (ранняя стадии – самая высокая вероятность). В такой ситуации большую роль играют быстрые, доступные и надежные методы экспресс-контроля обнаружения поражения почек, особенно на ранней стадии.</w:t>
      </w:r>
    </w:p>
    <w:p w14:paraId="0E05E97D" w14:textId="77777777" w:rsidR="00522CE2" w:rsidRDefault="00522CE2" w:rsidP="00522CE2">
      <w:pPr>
        <w:ind w:firstLine="397"/>
        <w:jc w:val="center"/>
      </w:pPr>
      <w:r>
        <w:t>Экспресс-м</w:t>
      </w:r>
      <w:r w:rsidRPr="00494875">
        <w:t xml:space="preserve">етод измерения и </w:t>
      </w:r>
      <w:r>
        <w:t>результаты исследований</w:t>
      </w:r>
    </w:p>
    <w:p w14:paraId="13DB286B" w14:textId="77777777" w:rsidR="00522CE2" w:rsidRPr="00B80038" w:rsidRDefault="00522CE2" w:rsidP="006806D2">
      <w:pPr>
        <w:ind w:firstLine="397"/>
        <w:jc w:val="both"/>
      </w:pPr>
      <w:r w:rsidRPr="00B80038">
        <w:t xml:space="preserve">В настоящее время разработаны различные методы экспресс-контроля. Наиболее широко применяемых из самых доступных </w:t>
      </w:r>
      <w:proofErr w:type="gramStart"/>
      <w:r w:rsidRPr="00B80038">
        <w:t>- это</w:t>
      </w:r>
      <w:proofErr w:type="gramEnd"/>
      <w:r w:rsidRPr="00B80038">
        <w:t xml:space="preserve"> тест-полоски, урометр,</w:t>
      </w:r>
      <w:r w:rsidRPr="00B80038">
        <w:rPr>
          <w:color w:val="000000"/>
          <w:shd w:val="clear" w:color="auto" w:fill="FFFFFF"/>
        </w:rPr>
        <w:t xml:space="preserve"> мочевой анализатор.</w:t>
      </w:r>
      <w:r w:rsidRPr="00B80038">
        <w:t xml:space="preserve"> Проведенные различные исследования показали, что эти методы не позволяют обнаружить болезнь на ранней стадии. Только в клинике можно достоверно сделать. В моей работе предлагается новый и доступный метод диагностики болезни почек на ранней стадии, который связан с экспресс-контролем мочи на основе рефрактометрических измерений, которые обладают высокой точностью (погрешность измерения показателя преломления мочи 5*10</w:t>
      </w:r>
      <w:r w:rsidRPr="00B80038">
        <w:rPr>
          <w:vertAlign w:val="superscript"/>
        </w:rPr>
        <w:t>-5</w:t>
      </w:r>
      <w:r w:rsidRPr="00B80038">
        <w:t>).</w:t>
      </w:r>
    </w:p>
    <w:p w14:paraId="59AA59B3" w14:textId="0DD5E51D" w:rsidR="00522CE2" w:rsidRPr="00EB799A" w:rsidRDefault="00522CE2" w:rsidP="006806D2">
      <w:pPr>
        <w:ind w:firstLine="397"/>
        <w:jc w:val="both"/>
      </w:pPr>
      <w:r w:rsidRPr="00B80038">
        <w:t>Мною был проведен анализ различных исследований, связанных с определением поражения почек на ранней стадии. Его результаты показали, что на этой стадии болезни наибольшие изменения происходят в следующих трех параметрах мочи (</w:t>
      </w:r>
      <w:proofErr w:type="spellStart"/>
      <w:r w:rsidRPr="00B80038">
        <w:t>осмолярность</w:t>
      </w:r>
      <w:proofErr w:type="spellEnd"/>
      <w:r w:rsidRPr="00B80038">
        <w:t xml:space="preserve"> - </w:t>
      </w:r>
      <w:proofErr w:type="spellStart"/>
      <w:r w:rsidRPr="00B80038">
        <w:t>O</w:t>
      </w:r>
      <w:r w:rsidRPr="00B80038">
        <w:rPr>
          <w:vertAlign w:val="subscript"/>
        </w:rPr>
        <w:t>s</w:t>
      </w:r>
      <w:proofErr w:type="spellEnd"/>
      <w:r w:rsidRPr="00B80038">
        <w:t xml:space="preserve">, наличие (концентрация </w:t>
      </w:r>
      <w:proofErr w:type="spellStart"/>
      <w:r w:rsidRPr="00B80038">
        <w:t>N</w:t>
      </w:r>
      <w:r w:rsidRPr="00B80038">
        <w:rPr>
          <w:vertAlign w:val="subscript"/>
        </w:rPr>
        <w:t>b</w:t>
      </w:r>
      <w:proofErr w:type="spellEnd"/>
      <w:r w:rsidRPr="00B80038">
        <w:t xml:space="preserve">) твердых веществ в ней и размер белковых соединений - </w:t>
      </w:r>
      <w:proofErr w:type="spellStart"/>
      <w:r w:rsidRPr="00B80038">
        <w:t>D</w:t>
      </w:r>
      <w:r w:rsidRPr="00B80038">
        <w:rPr>
          <w:vertAlign w:val="subscript"/>
        </w:rPr>
        <w:t>b</w:t>
      </w:r>
      <w:proofErr w:type="spellEnd"/>
      <w:r w:rsidRPr="00B80038">
        <w:t xml:space="preserve">, а также (плотности мочи </w:t>
      </w:r>
      <w:proofErr w:type="spellStart"/>
      <w:r w:rsidRPr="00B80038">
        <w:t>ρ</w:t>
      </w:r>
      <w:r w:rsidRPr="00B80038">
        <w:rPr>
          <w:vertAlign w:val="subscript"/>
        </w:rPr>
        <w:t>m</w:t>
      </w:r>
      <w:proofErr w:type="spellEnd"/>
      <w:r w:rsidRPr="00B80038">
        <w:t>)). Предлагается связать изменения значений этих трех-четырех параметров с изменением показателя преломления мочи. Для этого необходимо реализовать измерения показателя преломления мочи на трех длинах волн: λ</w:t>
      </w:r>
      <w:r w:rsidRPr="00B80038">
        <w:rPr>
          <w:vertAlign w:val="subscript"/>
        </w:rPr>
        <w:t>1</w:t>
      </w:r>
      <w:r w:rsidRPr="00B80038">
        <w:t xml:space="preserve"> = 436,4 нм, λ</w:t>
      </w:r>
      <w:r w:rsidRPr="00B80038">
        <w:rPr>
          <w:vertAlign w:val="subscript"/>
        </w:rPr>
        <w:t>2</w:t>
      </w:r>
      <w:r w:rsidRPr="00B80038">
        <w:t xml:space="preserve"> = 589,3 нм, λ</w:t>
      </w:r>
      <w:r w:rsidRPr="00B80038">
        <w:rPr>
          <w:vertAlign w:val="subscript"/>
        </w:rPr>
        <w:t>3</w:t>
      </w:r>
      <w:r w:rsidRPr="00B80038">
        <w:t xml:space="preserve"> = 657,2 нм (стандартный состав длин волн для волнового рефрактометра, принцип работы которого основан на полном внутреннем отражении). Для использования четырех параметров надо выполнить измерения на четырех длинах волн. И выполнить градуировки изменения значений </w:t>
      </w:r>
      <w:proofErr w:type="spellStart"/>
      <w:r w:rsidRPr="00B80038">
        <w:t>O</w:t>
      </w:r>
      <w:r w:rsidRPr="00B80038">
        <w:rPr>
          <w:vertAlign w:val="subscript"/>
        </w:rPr>
        <w:t>s</w:t>
      </w:r>
      <w:proofErr w:type="spellEnd"/>
      <w:r w:rsidRPr="00B80038">
        <w:t xml:space="preserve">, </w:t>
      </w:r>
      <w:proofErr w:type="spellStart"/>
      <w:r w:rsidRPr="00B80038">
        <w:t>N</w:t>
      </w:r>
      <w:r w:rsidRPr="00B80038">
        <w:rPr>
          <w:vertAlign w:val="subscript"/>
        </w:rPr>
        <w:t>b</w:t>
      </w:r>
      <w:proofErr w:type="spellEnd"/>
      <w:r w:rsidRPr="00B80038">
        <w:t xml:space="preserve">, </w:t>
      </w:r>
      <w:proofErr w:type="spellStart"/>
      <w:r w:rsidRPr="00B80038">
        <w:t>D</w:t>
      </w:r>
      <w:r w:rsidRPr="00B80038">
        <w:rPr>
          <w:vertAlign w:val="subscript"/>
        </w:rPr>
        <w:t>b</w:t>
      </w:r>
      <w:proofErr w:type="spellEnd"/>
      <w:r w:rsidRPr="00B80038">
        <w:rPr>
          <w:vertAlign w:val="subscript"/>
        </w:rPr>
        <w:t xml:space="preserve"> </w:t>
      </w:r>
      <w:r w:rsidRPr="00B80038">
        <w:t xml:space="preserve">и </w:t>
      </w:r>
      <w:proofErr w:type="spellStart"/>
      <w:r w:rsidRPr="00B80038">
        <w:t>ρ</w:t>
      </w:r>
      <w:r w:rsidRPr="00B80038">
        <w:rPr>
          <w:vertAlign w:val="subscript"/>
        </w:rPr>
        <w:t>m</w:t>
      </w:r>
      <w:proofErr w:type="spellEnd"/>
      <w:r w:rsidRPr="00B80038">
        <w:t xml:space="preserve"> от изменения значений показателей преломления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</m:oMath>
      <w:r w:rsidRPr="00EB799A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Pr="00EB799A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</m:sSub>
      </m:oMath>
      <w:r w:rsidRPr="00EB799A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sub>
        </m:sSub>
      </m:oMath>
      <w:r w:rsidRPr="00EB799A">
        <w:t xml:space="preserve"> в пробах мочи при различных её температурах Т (неизвестных в дальнейших три-четыре компоненты, три-четыре уравнения (градуировки) для каждой длины лазерного излучения (в итоге 9-12 градуировочных кривых). Достоверность результатов с увеличением числа измерений на различных длинах волн возрастает. Поэтому в новой разработанной в будущем конструкции </w:t>
      </w:r>
      <w:r w:rsidRPr="00EB799A">
        <w:lastRenderedPageBreak/>
        <w:t>рефрактометра необходимо будет задействовать еще одну длину волны λ</w:t>
      </w:r>
      <w:r w:rsidRPr="00EB799A">
        <w:rPr>
          <w:vertAlign w:val="subscript"/>
        </w:rPr>
        <w:t>4</w:t>
      </w:r>
      <w:r w:rsidRPr="00EB799A">
        <w:t xml:space="preserve"> = 505.3 нм (зеленое излучение). Достоверность измерений еще увеличиться. </w:t>
      </w:r>
    </w:p>
    <w:p w14:paraId="77401725" w14:textId="77E7EC93" w:rsidR="00522CE2" w:rsidRDefault="00522CE2" w:rsidP="006806D2">
      <w:pPr>
        <w:ind w:firstLine="397"/>
        <w:jc w:val="both"/>
      </w:pPr>
      <w:r w:rsidRPr="00B80038">
        <w:t xml:space="preserve">На начальных этапах подготовки к исследованию было предложено создание модельных растворов, важным аспектом которых является анализ биофизических свойств образцов с известным составом. С помощью моделей растворов будут установлены теоретические показатели определения состояния почек, поэтому были приготовлены образцы для рассмотрения 3-х разных случаев: 1. Здоровый человек, 2. Человек с сахарным диабетом и началом развития заболевания почек, 3. Человек с критической стадией болезни почек. </w:t>
      </w:r>
      <w:r w:rsidRPr="00B80038">
        <w:rPr>
          <w:noProof/>
        </w:rPr>
        <w:t>Для дальнейших измерений на рефрактометре</w:t>
      </w:r>
      <w:r w:rsidRPr="00B80038">
        <w:t xml:space="preserve"> </w:t>
      </w:r>
      <w:r w:rsidRPr="00B80038">
        <w:rPr>
          <w:noProof/>
        </w:rPr>
        <w:t xml:space="preserve">были взяты пробы мочи у людей, состоянию здоровья которых отражают приготовленные модельные растворы. Были </w:t>
      </w:r>
      <w:r w:rsidRPr="00B80038">
        <w:t xml:space="preserve">представлены результаты исследования двух групп людей на поражение почек. В первой группе доброволец со здоровыми почками, проходящий диспансеризацию (Павлова). Во второй группе остальные участники эксперимента (Иванов и </w:t>
      </w:r>
      <w:proofErr w:type="spellStart"/>
      <w:r w:rsidRPr="00B80038">
        <w:t>Кендев</w:t>
      </w:r>
      <w:proofErr w:type="spellEnd"/>
      <w:r w:rsidRPr="00B80038">
        <w:t>) с глубокими изменениями в почках.</w:t>
      </w:r>
      <w:r>
        <w:t xml:space="preserve"> Данные сведены в таблицу 1.</w:t>
      </w:r>
    </w:p>
    <w:p w14:paraId="2ECDD8E2" w14:textId="77777777" w:rsidR="00522CE2" w:rsidRDefault="00522CE2" w:rsidP="00522CE2">
      <w:pPr>
        <w:ind w:firstLine="567"/>
        <w:jc w:val="both"/>
      </w:pPr>
    </w:p>
    <w:p w14:paraId="70C4CE97" w14:textId="46AFAD29" w:rsidR="00522CE2" w:rsidRPr="001A4B7D" w:rsidRDefault="00522CE2" w:rsidP="000456E6">
      <w:pPr>
        <w:ind w:firstLine="397"/>
        <w:jc w:val="center"/>
      </w:pPr>
      <w:r w:rsidRPr="00522CE2">
        <w:rPr>
          <w:rStyle w:val="a3"/>
          <w:b/>
          <w:bCs/>
          <w:i w:val="0"/>
          <w:iCs w:val="0"/>
        </w:rPr>
        <w:t>Таблица</w:t>
      </w:r>
      <w:r w:rsidRPr="00522CE2">
        <w:rPr>
          <w:b/>
          <w:bCs/>
          <w:i/>
          <w:iCs/>
        </w:rPr>
        <w:t xml:space="preserve"> </w:t>
      </w:r>
      <w:r>
        <w:rPr>
          <w:b/>
          <w:bCs/>
        </w:rPr>
        <w:t>1</w:t>
      </w:r>
      <w:r w:rsidRPr="00522CE2">
        <w:rPr>
          <w:b/>
          <w:bCs/>
          <w:i/>
          <w:iCs/>
        </w:rPr>
        <w:t>.</w:t>
      </w:r>
      <w:r>
        <w:t xml:space="preserve"> Основные показатели мочи у людей с различными состояниями заболевания почек</w:t>
      </w:r>
    </w:p>
    <w:tbl>
      <w:tblPr>
        <w:tblW w:w="89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029"/>
        <w:gridCol w:w="1028"/>
        <w:gridCol w:w="1106"/>
        <w:gridCol w:w="1527"/>
        <w:gridCol w:w="1276"/>
        <w:gridCol w:w="1418"/>
      </w:tblGrid>
      <w:tr w:rsidR="001C5B37" w:rsidRPr="00687B06" w14:paraId="3C97E9D5" w14:textId="77777777" w:rsidTr="00E15C9C">
        <w:trPr>
          <w:trHeight w:val="352"/>
          <w:tblHeader/>
          <w:jc w:val="center"/>
        </w:trPr>
        <w:tc>
          <w:tcPr>
            <w:tcW w:w="1544" w:type="dxa"/>
            <w:vMerge w:val="restart"/>
            <w:vAlign w:val="center"/>
          </w:tcPr>
          <w:p w14:paraId="49366347" w14:textId="4C26DF2F" w:rsidR="00522CE2" w:rsidRPr="001C5B37" w:rsidRDefault="00522CE2" w:rsidP="00072856">
            <w:pPr>
              <w:pStyle w:val="tablecolhead"/>
              <w:rPr>
                <w:sz w:val="20"/>
                <w:szCs w:val="20"/>
                <w:lang w:val="ru-RU"/>
              </w:rPr>
            </w:pPr>
            <w:r w:rsidRPr="001C5B37">
              <w:rPr>
                <w:sz w:val="20"/>
                <w:szCs w:val="20"/>
                <w:lang w:val="ru-RU"/>
              </w:rPr>
              <w:t>Образцы</w:t>
            </w:r>
          </w:p>
        </w:tc>
        <w:tc>
          <w:tcPr>
            <w:tcW w:w="3163" w:type="dxa"/>
            <w:gridSpan w:val="3"/>
            <w:vAlign w:val="center"/>
          </w:tcPr>
          <w:p w14:paraId="468B6E57" w14:textId="53F5449E" w:rsidR="00522CE2" w:rsidRPr="001C5B37" w:rsidRDefault="001C5B37" w:rsidP="00072856">
            <w:pPr>
              <w:pStyle w:val="tablecolhead"/>
              <w:rPr>
                <w:sz w:val="20"/>
                <w:szCs w:val="20"/>
                <w:lang w:val="ru-RU"/>
              </w:rPr>
            </w:pPr>
            <w:r w:rsidRPr="001C5B37">
              <w:rPr>
                <w:sz w:val="20"/>
                <w:szCs w:val="20"/>
                <w:lang w:val="ru-RU"/>
              </w:rPr>
              <w:t xml:space="preserve">Показатель преломления на 3-х значениях λ, </w:t>
            </w:r>
            <w:proofErr w:type="spellStart"/>
            <w:r w:rsidRPr="001C5B37">
              <w:rPr>
                <w:sz w:val="20"/>
                <w:szCs w:val="20"/>
                <w:lang w:val="ru-RU"/>
              </w:rPr>
              <w:t>отн</w:t>
            </w:r>
            <w:proofErr w:type="spellEnd"/>
            <w:r w:rsidRPr="001C5B37">
              <w:rPr>
                <w:sz w:val="20"/>
                <w:szCs w:val="20"/>
                <w:lang w:val="ru-RU"/>
              </w:rPr>
              <w:t>. ед.</w:t>
            </w:r>
          </w:p>
        </w:tc>
        <w:tc>
          <w:tcPr>
            <w:tcW w:w="1527" w:type="dxa"/>
            <w:vAlign w:val="center"/>
          </w:tcPr>
          <w:p w14:paraId="6E14C762" w14:textId="12F21F4F" w:rsidR="00522CE2" w:rsidRPr="001C5B37" w:rsidRDefault="001C5B37" w:rsidP="00072856">
            <w:pPr>
              <w:pStyle w:val="tablecolhead"/>
              <w:rPr>
                <w:sz w:val="20"/>
                <w:szCs w:val="20"/>
                <w:lang w:val="ru-RU"/>
              </w:rPr>
            </w:pPr>
            <w:proofErr w:type="spellStart"/>
            <w:r w:rsidRPr="001C5B37">
              <w:rPr>
                <w:sz w:val="20"/>
                <w:szCs w:val="20"/>
                <w:lang w:val="ru-RU"/>
              </w:rPr>
              <w:t>Осматическое</w:t>
            </w:r>
            <w:proofErr w:type="spellEnd"/>
            <w:r w:rsidRPr="001C5B37">
              <w:rPr>
                <w:sz w:val="20"/>
                <w:szCs w:val="20"/>
                <w:lang w:val="ru-RU"/>
              </w:rPr>
              <w:t xml:space="preserve"> давление мочи</w:t>
            </w:r>
          </w:p>
        </w:tc>
        <w:tc>
          <w:tcPr>
            <w:tcW w:w="1276" w:type="dxa"/>
            <w:vAlign w:val="center"/>
          </w:tcPr>
          <w:p w14:paraId="2E31FB41" w14:textId="6E179762" w:rsidR="00522CE2" w:rsidRPr="001C5B37" w:rsidRDefault="001C5B37" w:rsidP="00072856">
            <w:pPr>
              <w:pStyle w:val="tablecolhead"/>
              <w:rPr>
                <w:sz w:val="20"/>
                <w:szCs w:val="20"/>
                <w:lang w:val="ru-RU"/>
              </w:rPr>
            </w:pPr>
            <w:r w:rsidRPr="001C5B37">
              <w:rPr>
                <w:sz w:val="20"/>
                <w:szCs w:val="20"/>
                <w:lang w:val="ru-RU"/>
              </w:rPr>
              <w:t>Удельный вес мочи</w:t>
            </w:r>
          </w:p>
        </w:tc>
        <w:tc>
          <w:tcPr>
            <w:tcW w:w="1418" w:type="dxa"/>
            <w:vAlign w:val="center"/>
          </w:tcPr>
          <w:p w14:paraId="4E80C1CE" w14:textId="5A0A1AD0" w:rsidR="00522CE2" w:rsidRPr="001C5B37" w:rsidRDefault="001C5B37" w:rsidP="00072856">
            <w:pPr>
              <w:pStyle w:val="tablecolhead"/>
              <w:rPr>
                <w:sz w:val="20"/>
                <w:szCs w:val="20"/>
                <w:lang w:val="ru-RU"/>
              </w:rPr>
            </w:pPr>
            <w:r w:rsidRPr="001C5B37">
              <w:rPr>
                <w:sz w:val="20"/>
                <w:szCs w:val="20"/>
                <w:lang w:val="ru-RU"/>
              </w:rPr>
              <w:t>Общее количество твердых веществ в моче</w:t>
            </w:r>
          </w:p>
        </w:tc>
      </w:tr>
      <w:tr w:rsidR="00522CE2" w:rsidRPr="00687B06" w14:paraId="7B9495D6" w14:textId="77777777" w:rsidTr="00E15C9C">
        <w:trPr>
          <w:trHeight w:val="352"/>
          <w:tblHeader/>
          <w:jc w:val="center"/>
        </w:trPr>
        <w:tc>
          <w:tcPr>
            <w:tcW w:w="1544" w:type="dxa"/>
            <w:vMerge/>
          </w:tcPr>
          <w:p w14:paraId="2AF25CBC" w14:textId="77777777" w:rsidR="00522CE2" w:rsidRPr="001C5B37" w:rsidRDefault="00522CE2" w:rsidP="0007285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2EDC4F4C" w14:textId="1A8797A5" w:rsidR="00522CE2" w:rsidRPr="00E15C9C" w:rsidRDefault="00522CE2" w:rsidP="00E15C9C">
            <w:pPr>
              <w:pStyle w:val="tablecolsubhead"/>
              <w:rPr>
                <w:sz w:val="20"/>
                <w:szCs w:val="20"/>
                <w:lang w:val="ru-RU"/>
              </w:rPr>
            </w:pPr>
            <w:r w:rsidRPr="001C5B37">
              <w:rPr>
                <w:sz w:val="20"/>
                <w:szCs w:val="20"/>
              </w:rPr>
              <w:t xml:space="preserve">436,4 </w:t>
            </w:r>
            <w:r w:rsidR="00E15C9C">
              <w:rPr>
                <w:sz w:val="20"/>
                <w:szCs w:val="20"/>
                <w:lang w:val="ru-RU"/>
              </w:rPr>
              <w:t>нм</w:t>
            </w:r>
          </w:p>
        </w:tc>
        <w:tc>
          <w:tcPr>
            <w:tcW w:w="1028" w:type="dxa"/>
            <w:vAlign w:val="center"/>
          </w:tcPr>
          <w:p w14:paraId="54DAD686" w14:textId="096BA932" w:rsidR="00522CE2" w:rsidRPr="00E15C9C" w:rsidRDefault="00522CE2" w:rsidP="00E15C9C">
            <w:pPr>
              <w:pStyle w:val="tablecolsubhead"/>
              <w:rPr>
                <w:sz w:val="20"/>
                <w:szCs w:val="20"/>
                <w:lang w:val="ru-RU"/>
              </w:rPr>
            </w:pPr>
            <w:r w:rsidRPr="001C5B37">
              <w:rPr>
                <w:sz w:val="20"/>
                <w:szCs w:val="20"/>
              </w:rPr>
              <w:t xml:space="preserve">589,3 </w:t>
            </w:r>
            <w:r w:rsidR="00E15C9C">
              <w:rPr>
                <w:sz w:val="20"/>
                <w:szCs w:val="20"/>
                <w:lang w:val="ru-RU"/>
              </w:rPr>
              <w:t>нм</w:t>
            </w:r>
          </w:p>
        </w:tc>
        <w:tc>
          <w:tcPr>
            <w:tcW w:w="1106" w:type="dxa"/>
            <w:vAlign w:val="center"/>
          </w:tcPr>
          <w:p w14:paraId="6A64AA32" w14:textId="6A397752" w:rsidR="00522CE2" w:rsidRPr="00E15C9C" w:rsidRDefault="00522CE2" w:rsidP="00E15C9C">
            <w:pPr>
              <w:pStyle w:val="tablecolsubhead"/>
              <w:rPr>
                <w:sz w:val="20"/>
                <w:szCs w:val="20"/>
                <w:lang w:val="ru-RU"/>
              </w:rPr>
            </w:pPr>
            <w:r w:rsidRPr="001C5B37">
              <w:rPr>
                <w:sz w:val="20"/>
                <w:szCs w:val="20"/>
              </w:rPr>
              <w:t xml:space="preserve">657,2 </w:t>
            </w:r>
            <w:r w:rsidR="00E15C9C">
              <w:rPr>
                <w:sz w:val="20"/>
                <w:szCs w:val="20"/>
                <w:lang w:val="ru-RU"/>
              </w:rPr>
              <w:t>нм</w:t>
            </w:r>
          </w:p>
        </w:tc>
        <w:tc>
          <w:tcPr>
            <w:tcW w:w="1527" w:type="dxa"/>
            <w:vAlign w:val="center"/>
          </w:tcPr>
          <w:p w14:paraId="32E22000" w14:textId="77AC635A" w:rsidR="00522CE2" w:rsidRPr="00E15C9C" w:rsidRDefault="00E15C9C" w:rsidP="00E15C9C">
            <w:pPr>
              <w:pStyle w:val="tablecolsubhead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мОс</w:t>
            </w:r>
            <w:proofErr w:type="spellEnd"/>
            <w:r w:rsidR="00522CE2" w:rsidRPr="001C5B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>л</w:t>
            </w:r>
          </w:p>
        </w:tc>
        <w:tc>
          <w:tcPr>
            <w:tcW w:w="1276" w:type="dxa"/>
            <w:vAlign w:val="center"/>
          </w:tcPr>
          <w:p w14:paraId="27F25FB1" w14:textId="43D5BF61" w:rsidR="00522CE2" w:rsidRPr="00E15C9C" w:rsidRDefault="00E15C9C" w:rsidP="00E15C9C">
            <w:pPr>
              <w:pStyle w:val="tablecolsubhea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r w:rsidR="00522CE2" w:rsidRPr="001C5B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>мл</w:t>
            </w:r>
          </w:p>
        </w:tc>
        <w:tc>
          <w:tcPr>
            <w:tcW w:w="1418" w:type="dxa"/>
            <w:vAlign w:val="center"/>
          </w:tcPr>
          <w:p w14:paraId="184DCBEA" w14:textId="7EE9CD16" w:rsidR="00522CE2" w:rsidRPr="00E15C9C" w:rsidRDefault="00522CE2" w:rsidP="00E15C9C">
            <w:pPr>
              <w:pStyle w:val="tablecolsubhead"/>
              <w:rPr>
                <w:sz w:val="20"/>
                <w:szCs w:val="20"/>
                <w:lang w:val="ru-RU"/>
              </w:rPr>
            </w:pPr>
            <w:r w:rsidRPr="001C5B37">
              <w:rPr>
                <w:sz w:val="20"/>
                <w:szCs w:val="20"/>
              </w:rPr>
              <w:t xml:space="preserve">% </w:t>
            </w:r>
            <w:proofErr w:type="spellStart"/>
            <w:r w:rsidR="00E15C9C">
              <w:rPr>
                <w:sz w:val="20"/>
                <w:szCs w:val="20"/>
                <w:lang w:val="ru-RU"/>
              </w:rPr>
              <w:t>знач</w:t>
            </w:r>
            <w:proofErr w:type="spellEnd"/>
          </w:p>
        </w:tc>
      </w:tr>
      <w:tr w:rsidR="00522CE2" w:rsidRPr="00687B06" w14:paraId="7B7DA1E6" w14:textId="77777777" w:rsidTr="00E15C9C">
        <w:trPr>
          <w:trHeight w:val="352"/>
          <w:jc w:val="center"/>
        </w:trPr>
        <w:tc>
          <w:tcPr>
            <w:tcW w:w="1544" w:type="dxa"/>
          </w:tcPr>
          <w:p w14:paraId="0E453E0A" w14:textId="2D9F3046" w:rsidR="00522CE2" w:rsidRPr="001C5B37" w:rsidRDefault="00522CE2" w:rsidP="00E15C9C">
            <w:pPr>
              <w:pStyle w:val="tablecopy"/>
              <w:jc w:val="center"/>
              <w:rPr>
                <w:sz w:val="20"/>
                <w:szCs w:val="20"/>
                <w:lang w:val="ru-RU"/>
              </w:rPr>
            </w:pPr>
            <w:r w:rsidRPr="001C5B37">
              <w:rPr>
                <w:sz w:val="20"/>
                <w:szCs w:val="20"/>
                <w:lang w:val="ru-RU"/>
              </w:rPr>
              <w:t>Иванов</w:t>
            </w:r>
          </w:p>
        </w:tc>
        <w:tc>
          <w:tcPr>
            <w:tcW w:w="1029" w:type="dxa"/>
            <w:vAlign w:val="center"/>
          </w:tcPr>
          <w:p w14:paraId="1169AC86" w14:textId="77777777" w:rsidR="00522CE2" w:rsidRPr="001C5B37" w:rsidRDefault="00522CE2" w:rsidP="00E15C9C">
            <w:pPr>
              <w:pStyle w:val="tablecopy"/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1,349653</w:t>
            </w:r>
          </w:p>
        </w:tc>
        <w:tc>
          <w:tcPr>
            <w:tcW w:w="1028" w:type="dxa"/>
            <w:vAlign w:val="center"/>
          </w:tcPr>
          <w:p w14:paraId="1E0C4E93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1,342072</w:t>
            </w:r>
          </w:p>
        </w:tc>
        <w:tc>
          <w:tcPr>
            <w:tcW w:w="1106" w:type="dxa"/>
            <w:vAlign w:val="center"/>
          </w:tcPr>
          <w:p w14:paraId="592F123A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1,340126</w:t>
            </w:r>
          </w:p>
        </w:tc>
        <w:tc>
          <w:tcPr>
            <w:tcW w:w="1527" w:type="dxa"/>
            <w:vAlign w:val="center"/>
          </w:tcPr>
          <w:p w14:paraId="7DDB1714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1047</w:t>
            </w:r>
          </w:p>
        </w:tc>
        <w:tc>
          <w:tcPr>
            <w:tcW w:w="1276" w:type="dxa"/>
            <w:vAlign w:val="center"/>
          </w:tcPr>
          <w:p w14:paraId="59115C91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1,0263</w:t>
            </w:r>
          </w:p>
        </w:tc>
        <w:tc>
          <w:tcPr>
            <w:tcW w:w="1418" w:type="dxa"/>
            <w:vAlign w:val="center"/>
          </w:tcPr>
          <w:p w14:paraId="0A18FBB9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5,94</w:t>
            </w:r>
          </w:p>
        </w:tc>
      </w:tr>
      <w:tr w:rsidR="00522CE2" w:rsidRPr="00687B06" w14:paraId="48BBE70F" w14:textId="77777777" w:rsidTr="00E15C9C">
        <w:trPr>
          <w:trHeight w:val="352"/>
          <w:jc w:val="center"/>
        </w:trPr>
        <w:tc>
          <w:tcPr>
            <w:tcW w:w="1544" w:type="dxa"/>
          </w:tcPr>
          <w:p w14:paraId="1DB8EF84" w14:textId="5FFFC9C4" w:rsidR="00522CE2" w:rsidRPr="001C5B37" w:rsidRDefault="00522CE2" w:rsidP="00E15C9C">
            <w:pPr>
              <w:pStyle w:val="tablecopy"/>
              <w:jc w:val="center"/>
              <w:rPr>
                <w:sz w:val="20"/>
                <w:szCs w:val="20"/>
                <w:lang w:val="ru-RU"/>
              </w:rPr>
            </w:pPr>
            <w:r w:rsidRPr="001C5B37">
              <w:rPr>
                <w:sz w:val="20"/>
                <w:szCs w:val="20"/>
                <w:lang w:val="ru-RU"/>
              </w:rPr>
              <w:t>Павлова</w:t>
            </w:r>
          </w:p>
        </w:tc>
        <w:tc>
          <w:tcPr>
            <w:tcW w:w="1029" w:type="dxa"/>
            <w:vAlign w:val="center"/>
          </w:tcPr>
          <w:p w14:paraId="5AC95146" w14:textId="77777777" w:rsidR="00522CE2" w:rsidRPr="001C5B37" w:rsidRDefault="00522CE2" w:rsidP="00E15C9C">
            <w:pPr>
              <w:pStyle w:val="tablecopy"/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1,351017</w:t>
            </w:r>
          </w:p>
        </w:tc>
        <w:tc>
          <w:tcPr>
            <w:tcW w:w="1028" w:type="dxa"/>
            <w:vAlign w:val="center"/>
          </w:tcPr>
          <w:p w14:paraId="783FDEB7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1,343340</w:t>
            </w:r>
          </w:p>
        </w:tc>
        <w:tc>
          <w:tcPr>
            <w:tcW w:w="1106" w:type="dxa"/>
            <w:vAlign w:val="center"/>
          </w:tcPr>
          <w:p w14:paraId="45500F16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1,341395</w:t>
            </w:r>
          </w:p>
        </w:tc>
        <w:tc>
          <w:tcPr>
            <w:tcW w:w="1527" w:type="dxa"/>
            <w:vAlign w:val="center"/>
          </w:tcPr>
          <w:p w14:paraId="2B5F9B88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1184</w:t>
            </w:r>
          </w:p>
        </w:tc>
        <w:tc>
          <w:tcPr>
            <w:tcW w:w="1276" w:type="dxa"/>
            <w:vAlign w:val="center"/>
          </w:tcPr>
          <w:p w14:paraId="0DDE7066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1,0300</w:t>
            </w:r>
          </w:p>
        </w:tc>
        <w:tc>
          <w:tcPr>
            <w:tcW w:w="1418" w:type="dxa"/>
            <w:vAlign w:val="center"/>
          </w:tcPr>
          <w:p w14:paraId="298AB12D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6,73</w:t>
            </w:r>
          </w:p>
        </w:tc>
      </w:tr>
      <w:tr w:rsidR="00522CE2" w:rsidRPr="00687B06" w14:paraId="136BC844" w14:textId="77777777" w:rsidTr="00E15C9C">
        <w:trPr>
          <w:trHeight w:val="352"/>
          <w:jc w:val="center"/>
        </w:trPr>
        <w:tc>
          <w:tcPr>
            <w:tcW w:w="1544" w:type="dxa"/>
          </w:tcPr>
          <w:p w14:paraId="6B9C10E0" w14:textId="5D1E6656" w:rsidR="00522CE2" w:rsidRPr="001C5B37" w:rsidRDefault="00522CE2" w:rsidP="00E15C9C">
            <w:pPr>
              <w:pStyle w:val="tablecopy"/>
              <w:jc w:val="center"/>
              <w:rPr>
                <w:sz w:val="20"/>
                <w:szCs w:val="20"/>
                <w:lang w:val="ru-RU"/>
              </w:rPr>
            </w:pPr>
            <w:r w:rsidRPr="001C5B37">
              <w:rPr>
                <w:sz w:val="20"/>
                <w:szCs w:val="20"/>
                <w:lang w:val="ru-RU"/>
              </w:rPr>
              <w:t>Кендев</w:t>
            </w:r>
          </w:p>
        </w:tc>
        <w:tc>
          <w:tcPr>
            <w:tcW w:w="1029" w:type="dxa"/>
            <w:vAlign w:val="center"/>
          </w:tcPr>
          <w:p w14:paraId="5D4046D4" w14:textId="77777777" w:rsidR="00522CE2" w:rsidRPr="001C5B37" w:rsidRDefault="00522CE2" w:rsidP="00E15C9C">
            <w:pPr>
              <w:pStyle w:val="tablecopy"/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1,347952</w:t>
            </w:r>
          </w:p>
        </w:tc>
        <w:tc>
          <w:tcPr>
            <w:tcW w:w="1028" w:type="dxa"/>
            <w:vAlign w:val="center"/>
          </w:tcPr>
          <w:p w14:paraId="05EA0AC3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1,340456</w:t>
            </w:r>
          </w:p>
        </w:tc>
        <w:tc>
          <w:tcPr>
            <w:tcW w:w="1106" w:type="dxa"/>
            <w:vAlign w:val="center"/>
          </w:tcPr>
          <w:p w14:paraId="7EAB82D9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1,338511</w:t>
            </w:r>
          </w:p>
        </w:tc>
        <w:tc>
          <w:tcPr>
            <w:tcW w:w="1527" w:type="dxa"/>
            <w:vAlign w:val="center"/>
          </w:tcPr>
          <w:p w14:paraId="14C7BEE3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872</w:t>
            </w:r>
          </w:p>
        </w:tc>
        <w:tc>
          <w:tcPr>
            <w:tcW w:w="1276" w:type="dxa"/>
            <w:vAlign w:val="center"/>
          </w:tcPr>
          <w:p w14:paraId="4DF2CE46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1,0215</w:t>
            </w:r>
          </w:p>
        </w:tc>
        <w:tc>
          <w:tcPr>
            <w:tcW w:w="1418" w:type="dxa"/>
            <w:vAlign w:val="center"/>
          </w:tcPr>
          <w:p w14:paraId="76E03C07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4,91</w:t>
            </w:r>
          </w:p>
        </w:tc>
      </w:tr>
      <w:tr w:rsidR="00522CE2" w:rsidRPr="00687B06" w14:paraId="7A606DF2" w14:textId="77777777" w:rsidTr="00E15C9C">
        <w:trPr>
          <w:trHeight w:val="352"/>
          <w:jc w:val="center"/>
        </w:trPr>
        <w:tc>
          <w:tcPr>
            <w:tcW w:w="1544" w:type="dxa"/>
          </w:tcPr>
          <w:p w14:paraId="28EE8596" w14:textId="0D6AFEBA" w:rsidR="00522CE2" w:rsidRPr="001C5B37" w:rsidRDefault="00522CE2" w:rsidP="00E15C9C">
            <w:pPr>
              <w:pStyle w:val="tablecopy"/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  <w:lang w:val="ru-RU"/>
              </w:rPr>
              <w:t>Образец №1</w:t>
            </w:r>
          </w:p>
        </w:tc>
        <w:tc>
          <w:tcPr>
            <w:tcW w:w="1029" w:type="dxa"/>
            <w:vAlign w:val="center"/>
          </w:tcPr>
          <w:p w14:paraId="61879DC3" w14:textId="77777777" w:rsidR="00522CE2" w:rsidRPr="001C5B37" w:rsidRDefault="00522CE2" w:rsidP="00E15C9C">
            <w:pPr>
              <w:pStyle w:val="tablecopy"/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1,344454</w:t>
            </w:r>
          </w:p>
        </w:tc>
        <w:tc>
          <w:tcPr>
            <w:tcW w:w="1028" w:type="dxa"/>
            <w:vAlign w:val="center"/>
          </w:tcPr>
          <w:p w14:paraId="2ABC2C9D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1,337078</w:t>
            </w:r>
          </w:p>
        </w:tc>
        <w:tc>
          <w:tcPr>
            <w:tcW w:w="1106" w:type="dxa"/>
            <w:vAlign w:val="center"/>
          </w:tcPr>
          <w:p w14:paraId="100856A9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1,335164</w:t>
            </w:r>
          </w:p>
        </w:tc>
        <w:tc>
          <w:tcPr>
            <w:tcW w:w="1527" w:type="dxa"/>
            <w:vAlign w:val="center"/>
          </w:tcPr>
          <w:p w14:paraId="2AF139C8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504</w:t>
            </w:r>
          </w:p>
        </w:tc>
        <w:tc>
          <w:tcPr>
            <w:tcW w:w="1276" w:type="dxa"/>
            <w:vAlign w:val="center"/>
          </w:tcPr>
          <w:p w14:paraId="034283D4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1,0112</w:t>
            </w:r>
          </w:p>
        </w:tc>
        <w:tc>
          <w:tcPr>
            <w:tcW w:w="1418" w:type="dxa"/>
            <w:vAlign w:val="center"/>
          </w:tcPr>
          <w:p w14:paraId="29C80B26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2,72</w:t>
            </w:r>
          </w:p>
        </w:tc>
      </w:tr>
      <w:tr w:rsidR="00522CE2" w:rsidRPr="00687B06" w14:paraId="12609188" w14:textId="77777777" w:rsidTr="00E15C9C">
        <w:trPr>
          <w:trHeight w:val="352"/>
          <w:jc w:val="center"/>
        </w:trPr>
        <w:tc>
          <w:tcPr>
            <w:tcW w:w="1544" w:type="dxa"/>
          </w:tcPr>
          <w:p w14:paraId="6066D625" w14:textId="43F05772" w:rsidR="00522CE2" w:rsidRPr="001C5B37" w:rsidRDefault="00522CE2" w:rsidP="00E15C9C">
            <w:pPr>
              <w:pStyle w:val="tablecopy"/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  <w:lang w:val="ru-RU"/>
              </w:rPr>
              <w:t>Образец №2</w:t>
            </w:r>
          </w:p>
        </w:tc>
        <w:tc>
          <w:tcPr>
            <w:tcW w:w="1029" w:type="dxa"/>
            <w:vAlign w:val="center"/>
          </w:tcPr>
          <w:p w14:paraId="643245BF" w14:textId="77777777" w:rsidR="00522CE2" w:rsidRPr="001C5B37" w:rsidRDefault="00522CE2" w:rsidP="00E15C9C">
            <w:pPr>
              <w:pStyle w:val="tablecopy"/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1,345145</w:t>
            </w:r>
          </w:p>
        </w:tc>
        <w:tc>
          <w:tcPr>
            <w:tcW w:w="1028" w:type="dxa"/>
            <w:vAlign w:val="center"/>
          </w:tcPr>
          <w:p w14:paraId="77AA9756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1,337816</w:t>
            </w:r>
          </w:p>
        </w:tc>
        <w:tc>
          <w:tcPr>
            <w:tcW w:w="1106" w:type="dxa"/>
            <w:vAlign w:val="center"/>
          </w:tcPr>
          <w:p w14:paraId="667CAE1C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1,335920</w:t>
            </w:r>
          </w:p>
        </w:tc>
        <w:tc>
          <w:tcPr>
            <w:tcW w:w="1527" w:type="dxa"/>
            <w:vAlign w:val="center"/>
          </w:tcPr>
          <w:p w14:paraId="5830495A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584</w:t>
            </w:r>
          </w:p>
        </w:tc>
        <w:tc>
          <w:tcPr>
            <w:tcW w:w="1276" w:type="dxa"/>
            <w:vAlign w:val="center"/>
          </w:tcPr>
          <w:p w14:paraId="4F7AF216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1,0135</w:t>
            </w:r>
          </w:p>
        </w:tc>
        <w:tc>
          <w:tcPr>
            <w:tcW w:w="1418" w:type="dxa"/>
            <w:vAlign w:val="center"/>
          </w:tcPr>
          <w:p w14:paraId="3AA62184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3,20</w:t>
            </w:r>
          </w:p>
        </w:tc>
      </w:tr>
      <w:tr w:rsidR="00522CE2" w:rsidRPr="00687B06" w14:paraId="742207E0" w14:textId="77777777" w:rsidTr="00E15C9C">
        <w:trPr>
          <w:trHeight w:val="352"/>
          <w:jc w:val="center"/>
        </w:trPr>
        <w:tc>
          <w:tcPr>
            <w:tcW w:w="1544" w:type="dxa"/>
          </w:tcPr>
          <w:p w14:paraId="1DBBDA50" w14:textId="75F2270D" w:rsidR="00522CE2" w:rsidRPr="001C5B37" w:rsidRDefault="00522CE2" w:rsidP="00E15C9C">
            <w:pPr>
              <w:pStyle w:val="tablecopy"/>
              <w:jc w:val="center"/>
              <w:rPr>
                <w:sz w:val="20"/>
                <w:szCs w:val="20"/>
                <w:lang w:val="ru-RU"/>
              </w:rPr>
            </w:pPr>
            <w:r w:rsidRPr="001C5B37">
              <w:rPr>
                <w:sz w:val="20"/>
                <w:szCs w:val="20"/>
                <w:lang w:val="ru-RU"/>
              </w:rPr>
              <w:t>Образец №3</w:t>
            </w:r>
          </w:p>
        </w:tc>
        <w:tc>
          <w:tcPr>
            <w:tcW w:w="1029" w:type="dxa"/>
            <w:vAlign w:val="center"/>
          </w:tcPr>
          <w:p w14:paraId="4AB2E29D" w14:textId="77777777" w:rsidR="00522CE2" w:rsidRPr="001C5B37" w:rsidRDefault="00522CE2" w:rsidP="00E15C9C">
            <w:pPr>
              <w:pStyle w:val="tablecopy"/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1,342265</w:t>
            </w:r>
          </w:p>
        </w:tc>
        <w:tc>
          <w:tcPr>
            <w:tcW w:w="1028" w:type="dxa"/>
            <w:vAlign w:val="center"/>
          </w:tcPr>
          <w:p w14:paraId="4BAC79AD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1,335003</w:t>
            </w:r>
          </w:p>
        </w:tc>
        <w:tc>
          <w:tcPr>
            <w:tcW w:w="1106" w:type="dxa"/>
            <w:vAlign w:val="center"/>
          </w:tcPr>
          <w:p w14:paraId="32C4B71E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1,333116</w:t>
            </w:r>
          </w:p>
        </w:tc>
        <w:tc>
          <w:tcPr>
            <w:tcW w:w="1527" w:type="dxa"/>
            <w:vAlign w:val="center"/>
          </w:tcPr>
          <w:p w14:paraId="3FB1C880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276</w:t>
            </w:r>
          </w:p>
        </w:tc>
        <w:tc>
          <w:tcPr>
            <w:tcW w:w="1276" w:type="dxa"/>
            <w:vAlign w:val="center"/>
          </w:tcPr>
          <w:p w14:paraId="22659EBC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1,0047</w:t>
            </w:r>
          </w:p>
        </w:tc>
        <w:tc>
          <w:tcPr>
            <w:tcW w:w="1418" w:type="dxa"/>
            <w:vAlign w:val="center"/>
          </w:tcPr>
          <w:p w14:paraId="2F8749AC" w14:textId="77777777" w:rsidR="00522CE2" w:rsidRPr="001C5B37" w:rsidRDefault="00522CE2" w:rsidP="00E15C9C">
            <w:pPr>
              <w:jc w:val="center"/>
              <w:rPr>
                <w:sz w:val="20"/>
                <w:szCs w:val="20"/>
              </w:rPr>
            </w:pPr>
            <w:r w:rsidRPr="001C5B37">
              <w:rPr>
                <w:sz w:val="20"/>
                <w:szCs w:val="20"/>
              </w:rPr>
              <w:t>1,34</w:t>
            </w:r>
          </w:p>
        </w:tc>
      </w:tr>
    </w:tbl>
    <w:p w14:paraId="7B679C5D" w14:textId="77777777" w:rsidR="00522CE2" w:rsidRPr="00B80038" w:rsidRDefault="00522CE2" w:rsidP="00522CE2">
      <w:pPr>
        <w:jc w:val="both"/>
      </w:pPr>
    </w:p>
    <w:p w14:paraId="50E68522" w14:textId="77777777" w:rsidR="00522CE2" w:rsidRDefault="00522CE2" w:rsidP="001C5B37">
      <w:pPr>
        <w:ind w:firstLine="397"/>
        <w:jc w:val="center"/>
      </w:pPr>
      <w:r>
        <w:t>Заключение</w:t>
      </w:r>
    </w:p>
    <w:p w14:paraId="368E522D" w14:textId="066B6FFE" w:rsidR="00522CE2" w:rsidRDefault="00522CE2" w:rsidP="006806D2">
      <w:pPr>
        <w:ind w:firstLine="397"/>
        <w:jc w:val="both"/>
      </w:pPr>
      <w:r w:rsidRPr="00B80038">
        <w:t xml:space="preserve">В результате проведенного анализа был определен ряд параметров мочи человека, которые могут быть использованы для раннего выявления заболеваний почек при экспресс-контроле мочи. Разработан новый экспресс-метод контроля мочи человека, основанный на рефрактометрических измерениях показателя преломления </w:t>
      </w:r>
      <w:r>
        <w:rPr>
          <w:lang w:val="en-US"/>
        </w:rPr>
        <w:t>n</w:t>
      </w:r>
      <w:r w:rsidRPr="00522CE2">
        <w:rPr>
          <w:vertAlign w:val="subscript"/>
          <w:lang w:val="en-US"/>
        </w:rPr>
        <w:t>m</w:t>
      </w:r>
      <w:r w:rsidRPr="00B80038">
        <w:t xml:space="preserve"> при различных длинах волн. Проведено сравнение полученных данных по изменению общего количества сухих веществ, удельного веса (плотности), </w:t>
      </w:r>
      <w:proofErr w:type="spellStart"/>
      <w:r w:rsidRPr="00B80038">
        <w:t>осмолярности</w:t>
      </w:r>
      <w:proofErr w:type="spellEnd"/>
      <w:r w:rsidRPr="00B80038">
        <w:t xml:space="preserve"> и размера белков от измеренных значений показателя преломления с данными модельных растворов мочи человека, моделирующих поражения почек различных стадий. Получено совпадение результатов в пределах погрешности измерений. </w:t>
      </w:r>
    </w:p>
    <w:p w14:paraId="0223B2BF" w14:textId="77777777" w:rsidR="006806D2" w:rsidRDefault="006806D2" w:rsidP="006806D2">
      <w:pPr>
        <w:ind w:firstLine="397"/>
        <w:jc w:val="both"/>
      </w:pPr>
    </w:p>
    <w:p w14:paraId="0CF3669C" w14:textId="77777777" w:rsidR="00522CE2" w:rsidRDefault="00522CE2" w:rsidP="00522CE2">
      <w:pPr>
        <w:ind w:firstLine="397"/>
        <w:jc w:val="center"/>
        <w:rPr>
          <w:b/>
          <w:bCs/>
        </w:rPr>
      </w:pPr>
      <w:r>
        <w:rPr>
          <w:b/>
          <w:bCs/>
        </w:rPr>
        <w:t>Литература</w:t>
      </w:r>
    </w:p>
    <w:p w14:paraId="1148CCF6" w14:textId="77777777" w:rsidR="00E15C9C" w:rsidRPr="00E15C9C" w:rsidRDefault="00E15C9C" w:rsidP="006806D2">
      <w:pPr>
        <w:pStyle w:val="references"/>
        <w:numPr>
          <w:ilvl w:val="0"/>
          <w:numId w:val="1"/>
        </w:numPr>
        <w:spacing w:after="0" w:line="240" w:lineRule="auto"/>
        <w:ind w:left="698" w:hanging="284"/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val="x-none" w:eastAsia="x-none"/>
        </w:rPr>
      </w:pPr>
      <w:r w:rsidRPr="00E15C9C">
        <w:rPr>
          <w:rFonts w:eastAsia="Times New Roman"/>
          <w:sz w:val="24"/>
          <w:szCs w:val="24"/>
          <w:lang w:eastAsia="ru-RU"/>
        </w:rPr>
        <w:t xml:space="preserve">R. </w:t>
      </w:r>
      <w:hyperlink r:id="rId7" w:history="1">
        <w:r w:rsidRPr="00E15C9C">
          <w:rPr>
            <w:rFonts w:eastAsia="Times New Roman"/>
            <w:sz w:val="24"/>
            <w:szCs w:val="24"/>
            <w:bdr w:val="none" w:sz="0" w:space="0" w:color="auto" w:frame="1"/>
            <w:lang w:eastAsia="ru-RU"/>
          </w:rPr>
          <w:t>Davydov, A.</w:t>
        </w:r>
      </w:hyperlink>
      <w:r w:rsidRPr="00E15C9C">
        <w:rPr>
          <w:rFonts w:eastAsia="Times New Roman"/>
          <w:sz w:val="24"/>
          <w:szCs w:val="24"/>
          <w:lang w:eastAsia="ru-RU"/>
        </w:rPr>
        <w:t> </w:t>
      </w:r>
      <w:hyperlink r:id="rId8" w:history="1">
        <w:r w:rsidRPr="00E15C9C">
          <w:rPr>
            <w:rFonts w:eastAsia="Times New Roman"/>
            <w:sz w:val="24"/>
            <w:szCs w:val="24"/>
            <w:bdr w:val="none" w:sz="0" w:space="0" w:color="auto" w:frame="1"/>
            <w:lang w:eastAsia="ru-RU"/>
          </w:rPr>
          <w:t>Zaitceva, D.</w:t>
        </w:r>
      </w:hyperlink>
      <w:r w:rsidRPr="00E15C9C">
        <w:rPr>
          <w:rFonts w:eastAsia="Times New Roman"/>
          <w:sz w:val="24"/>
          <w:szCs w:val="24"/>
          <w:lang w:eastAsia="ru-RU"/>
        </w:rPr>
        <w:t>  </w:t>
      </w:r>
      <w:hyperlink r:id="rId9" w:history="1">
        <w:r w:rsidRPr="00E15C9C">
          <w:rPr>
            <w:rFonts w:eastAsia="Times New Roman"/>
            <w:sz w:val="24"/>
            <w:szCs w:val="24"/>
            <w:bdr w:val="none" w:sz="0" w:space="0" w:color="auto" w:frame="1"/>
            <w:lang w:eastAsia="ru-RU"/>
          </w:rPr>
          <w:t>Isakova, and M.</w:t>
        </w:r>
      </w:hyperlink>
      <w:r w:rsidRPr="00E15C9C">
        <w:rPr>
          <w:rFonts w:eastAsia="Times New Roman"/>
          <w:sz w:val="24"/>
          <w:szCs w:val="24"/>
          <w:lang w:eastAsia="ru-RU"/>
        </w:rPr>
        <w:t> </w:t>
      </w:r>
      <w:hyperlink r:id="rId10" w:history="1">
        <w:r w:rsidRPr="00E15C9C">
          <w:rPr>
            <w:rFonts w:eastAsia="Times New Roman"/>
            <w:sz w:val="24"/>
            <w:szCs w:val="24"/>
            <w:bdr w:val="none" w:sz="0" w:space="0" w:color="auto" w:frame="1"/>
            <w:lang w:eastAsia="ru-RU"/>
          </w:rPr>
          <w:t xml:space="preserve">Mazing, </w:t>
        </w:r>
      </w:hyperlink>
      <w:r w:rsidRPr="00E15C9C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eastAsia="x-none"/>
        </w:rPr>
        <w:t>“</w:t>
      </w:r>
      <w:hyperlink r:id="rId11" w:history="1">
        <w:r w:rsidRPr="00E15C9C">
          <w:rPr>
            <w:rFonts w:eastAsia="Times New Roman"/>
            <w:sz w:val="24"/>
            <w:szCs w:val="24"/>
            <w:lang w:eastAsia="ru-RU"/>
          </w:rPr>
          <w:t>New Methodology of Human Health Express Diagnostics Based on Pulse Wave Measurements and Occlusion Test</w:t>
        </w:r>
      </w:hyperlink>
      <w:r w:rsidRPr="00E15C9C">
        <w:rPr>
          <w:rFonts w:eastAsia="Times New Roman"/>
          <w:sz w:val="24"/>
          <w:szCs w:val="24"/>
          <w:lang w:eastAsia="ru-RU"/>
        </w:rPr>
        <w:t>,”</w:t>
      </w:r>
      <w:r w:rsidRPr="00E15C9C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eastAsia="x-none"/>
        </w:rPr>
        <w:t xml:space="preserve"> </w:t>
      </w:r>
      <w:r w:rsidRPr="00E15C9C">
        <w:rPr>
          <w:rFonts w:eastAsia="Times New Roman"/>
          <w:noProof w:val="0"/>
          <w:sz w:val="24"/>
          <w:szCs w:val="24"/>
          <w:shd w:val="clear" w:color="auto" w:fill="FFFFFF"/>
          <w:lang w:eastAsia="ru-RU"/>
        </w:rPr>
        <w:t>Journal of Personalized Medicine, vol. 13(3), pp. 443, March 2023.</w:t>
      </w:r>
    </w:p>
    <w:p w14:paraId="6BBCACEF" w14:textId="77777777" w:rsidR="00E15C9C" w:rsidRPr="00E15C9C" w:rsidRDefault="00E15C9C" w:rsidP="006806D2">
      <w:pPr>
        <w:pStyle w:val="references"/>
        <w:numPr>
          <w:ilvl w:val="0"/>
          <w:numId w:val="1"/>
        </w:numPr>
        <w:spacing w:after="0" w:line="240" w:lineRule="auto"/>
        <w:ind w:left="698" w:hanging="284"/>
        <w:rPr>
          <w:noProof w:val="0"/>
          <w:sz w:val="24"/>
          <w:szCs w:val="24"/>
        </w:rPr>
      </w:pPr>
      <w:r w:rsidRPr="00E15C9C">
        <w:rPr>
          <w:sz w:val="24"/>
          <w:szCs w:val="24"/>
          <w:shd w:val="clear" w:color="auto" w:fill="FFFFFF"/>
        </w:rPr>
        <w:t xml:space="preserve">N. M. </w:t>
      </w:r>
      <w:hyperlink r:id="rId12" w:history="1">
        <w:r w:rsidRPr="00E15C9C">
          <w:rPr>
            <w:rStyle w:val="typography-modulelvnit"/>
            <w:sz w:val="24"/>
            <w:szCs w:val="24"/>
            <w:bdr w:val="none" w:sz="0" w:space="0" w:color="auto" w:frame="1"/>
            <w:shd w:val="clear" w:color="auto" w:fill="FFFFFF"/>
          </w:rPr>
          <w:t>Grebenikova, V. V.</w:t>
        </w:r>
      </w:hyperlink>
      <w:r w:rsidRPr="00E15C9C">
        <w:rPr>
          <w:sz w:val="24"/>
          <w:szCs w:val="24"/>
          <w:shd w:val="clear" w:color="auto" w:fill="FFFFFF"/>
        </w:rPr>
        <w:t> </w:t>
      </w:r>
      <w:hyperlink r:id="rId13" w:history="1">
        <w:r w:rsidRPr="00E15C9C">
          <w:rPr>
            <w:rStyle w:val="typography-modulelvnit"/>
            <w:sz w:val="24"/>
            <w:szCs w:val="24"/>
            <w:bdr w:val="none" w:sz="0" w:space="0" w:color="auto" w:frame="1"/>
            <w:shd w:val="clear" w:color="auto" w:fill="FFFFFF"/>
          </w:rPr>
          <w:t>Davydov, and K. J.</w:t>
        </w:r>
      </w:hyperlink>
      <w:r w:rsidRPr="00E15C9C">
        <w:rPr>
          <w:sz w:val="24"/>
          <w:szCs w:val="24"/>
          <w:shd w:val="clear" w:color="auto" w:fill="FFFFFF"/>
        </w:rPr>
        <w:t> </w:t>
      </w:r>
      <w:hyperlink r:id="rId14" w:history="1">
        <w:r w:rsidRPr="00E15C9C">
          <w:rPr>
            <w:rStyle w:val="typography-modulelvnit"/>
            <w:sz w:val="24"/>
            <w:szCs w:val="24"/>
            <w:bdr w:val="none" w:sz="0" w:space="0" w:color="auto" w:frame="1"/>
            <w:shd w:val="clear" w:color="auto" w:fill="FFFFFF"/>
          </w:rPr>
          <w:t xml:space="preserve">Smirnov, </w:t>
        </w:r>
      </w:hyperlink>
      <w:r w:rsidRPr="00E15C9C">
        <w:rPr>
          <w:rStyle w:val="text-meta"/>
          <w:sz w:val="24"/>
          <w:szCs w:val="24"/>
          <w:shd w:val="clear" w:color="auto" w:fill="FFFFFF"/>
        </w:rPr>
        <w:t xml:space="preserve"> “</w:t>
      </w:r>
      <w:hyperlink r:id="rId15" w:history="1">
        <w:r w:rsidRPr="00E15C9C">
          <w:rPr>
            <w:rStyle w:val="typography-modulelvnit"/>
            <w:sz w:val="24"/>
            <w:szCs w:val="24"/>
            <w:shd w:val="clear" w:color="auto" w:fill="FFFFFF"/>
          </w:rPr>
          <w:t>Features of optical signals processing for monitoring the state of the flowing liquid medium with a refractometer</w:t>
        </w:r>
      </w:hyperlink>
      <w:r w:rsidRPr="00E15C9C">
        <w:rPr>
          <w:sz w:val="24"/>
          <w:szCs w:val="24"/>
        </w:rPr>
        <w:t xml:space="preserve">,” </w:t>
      </w:r>
      <w:hyperlink r:id="rId16" w:history="1">
        <w:r w:rsidRPr="00E15C9C">
          <w:rPr>
            <w:rStyle w:val="a3"/>
            <w:sz w:val="24"/>
            <w:szCs w:val="24"/>
            <w:bdr w:val="none" w:sz="0" w:space="0" w:color="auto" w:frame="1"/>
            <w:shd w:val="clear" w:color="auto" w:fill="FFFFFF"/>
          </w:rPr>
          <w:t>Journal of Physics: Conference Series</w:t>
        </w:r>
      </w:hyperlink>
      <w:r w:rsidRPr="00E15C9C">
        <w:rPr>
          <w:i/>
          <w:iCs/>
          <w:sz w:val="24"/>
          <w:szCs w:val="24"/>
          <w:shd w:val="clear" w:color="auto" w:fill="FFFFFF"/>
        </w:rPr>
        <w:t>,</w:t>
      </w:r>
      <w:r w:rsidRPr="00E15C9C">
        <w:rPr>
          <w:sz w:val="24"/>
          <w:szCs w:val="24"/>
          <w:shd w:val="clear" w:color="auto" w:fill="FFFFFF"/>
        </w:rPr>
        <w:t> vol. 1368(2), pp. 022057, September 2019.</w:t>
      </w:r>
    </w:p>
    <w:p w14:paraId="21C0CAB9" w14:textId="4EAF71CA" w:rsidR="0008547F" w:rsidRPr="006806D2" w:rsidRDefault="00E15C9C" w:rsidP="006806D2">
      <w:pPr>
        <w:pStyle w:val="references"/>
        <w:numPr>
          <w:ilvl w:val="0"/>
          <w:numId w:val="1"/>
        </w:numPr>
        <w:spacing w:after="0" w:line="240" w:lineRule="auto"/>
        <w:ind w:left="698" w:hanging="284"/>
        <w:rPr>
          <w:sz w:val="24"/>
          <w:szCs w:val="24"/>
        </w:rPr>
      </w:pPr>
      <w:r w:rsidRPr="00E15C9C">
        <w:rPr>
          <w:sz w:val="24"/>
          <w:szCs w:val="24"/>
        </w:rPr>
        <w:t>V. Davydov, I. Gureeva, R. Davydov, and V. Dudkin, “Flowing Refractometer for Feed Water State Control in the Second Loop of Nuclear Reactor,” Energies, vol. 15(2), pp. 457, March 2022.</w:t>
      </w:r>
    </w:p>
    <w:sectPr w:rsidR="0008547F" w:rsidRPr="006806D2" w:rsidSect="00D72A3D">
      <w:footerReference w:type="even" r:id="rId17"/>
      <w:footerReference w:type="default" r:id="rId18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7D41" w14:textId="77777777" w:rsidR="00D72A3D" w:rsidRDefault="00D72A3D">
      <w:r>
        <w:separator/>
      </w:r>
    </w:p>
  </w:endnote>
  <w:endnote w:type="continuationSeparator" w:id="0">
    <w:p w14:paraId="669E61A2" w14:textId="77777777" w:rsidR="00D72A3D" w:rsidRDefault="00D7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6AA9" w14:textId="77777777" w:rsidR="008C2C97" w:rsidRDefault="00000000" w:rsidP="007C42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2FA86EC" w14:textId="77777777" w:rsidR="008C2C97" w:rsidRDefault="008C2C97" w:rsidP="001019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E5CF" w14:textId="77777777" w:rsidR="008C2C97" w:rsidRDefault="008C2C97" w:rsidP="001019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A8DF" w14:textId="77777777" w:rsidR="00D72A3D" w:rsidRDefault="00D72A3D">
      <w:r>
        <w:separator/>
      </w:r>
    </w:p>
  </w:footnote>
  <w:footnote w:type="continuationSeparator" w:id="0">
    <w:p w14:paraId="5544222D" w14:textId="77777777" w:rsidR="00D72A3D" w:rsidRDefault="00D7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 w15:restartNumberingAfterBreak="0">
    <w:nsid w:val="7FB75132"/>
    <w:multiLevelType w:val="hybridMultilevel"/>
    <w:tmpl w:val="877AB50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305404051">
    <w:abstractNumId w:val="2"/>
  </w:num>
  <w:num w:numId="2" w16cid:durableId="956333696">
    <w:abstractNumId w:val="1"/>
  </w:num>
  <w:num w:numId="3" w16cid:durableId="140020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E2"/>
    <w:rsid w:val="000456E6"/>
    <w:rsid w:val="0008547F"/>
    <w:rsid w:val="001C5B37"/>
    <w:rsid w:val="002736AC"/>
    <w:rsid w:val="00522CE2"/>
    <w:rsid w:val="006806D2"/>
    <w:rsid w:val="008C2C97"/>
    <w:rsid w:val="009832F5"/>
    <w:rsid w:val="00BE015A"/>
    <w:rsid w:val="00C6191F"/>
    <w:rsid w:val="00D72A3D"/>
    <w:rsid w:val="00E1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10A2"/>
  <w15:chartTrackingRefBased/>
  <w15:docId w15:val="{DCC3EA9C-E145-4406-8EA7-5D5F1F64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2CE2"/>
    <w:rPr>
      <w:i/>
      <w:iCs/>
    </w:rPr>
  </w:style>
  <w:style w:type="paragraph" w:styleId="a4">
    <w:name w:val="footer"/>
    <w:basedOn w:val="a"/>
    <w:link w:val="a5"/>
    <w:rsid w:val="00522C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2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22CE2"/>
  </w:style>
  <w:style w:type="paragraph" w:styleId="a7">
    <w:name w:val="List Paragraph"/>
    <w:basedOn w:val="a"/>
    <w:uiPriority w:val="34"/>
    <w:qFormat/>
    <w:rsid w:val="00522CE2"/>
    <w:pPr>
      <w:ind w:left="720"/>
      <w:contextualSpacing/>
    </w:pPr>
  </w:style>
  <w:style w:type="paragraph" w:customStyle="1" w:styleId="tablecolhead">
    <w:name w:val="table col head"/>
    <w:basedOn w:val="a"/>
    <w:rsid w:val="00522CE2"/>
    <w:pPr>
      <w:jc w:val="center"/>
    </w:pPr>
    <w:rPr>
      <w:rFonts w:eastAsia="SimSun"/>
      <w:b/>
      <w:bCs/>
      <w:sz w:val="16"/>
      <w:szCs w:val="16"/>
      <w:lang w:val="en-US" w:eastAsia="en-US"/>
    </w:rPr>
  </w:style>
  <w:style w:type="paragraph" w:customStyle="1" w:styleId="tablecolsubhead">
    <w:name w:val="table col subhead"/>
    <w:basedOn w:val="tablecolhead"/>
    <w:rsid w:val="00522CE2"/>
    <w:rPr>
      <w:i/>
      <w:iCs/>
      <w:sz w:val="15"/>
      <w:szCs w:val="15"/>
    </w:rPr>
  </w:style>
  <w:style w:type="paragraph" w:customStyle="1" w:styleId="tablecopy">
    <w:name w:val="table copy"/>
    <w:rsid w:val="00522CE2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tablehead">
    <w:name w:val="table head"/>
    <w:rsid w:val="00522CE2"/>
    <w:pPr>
      <w:numPr>
        <w:numId w:val="2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paragraph" w:customStyle="1" w:styleId="references">
    <w:name w:val="references"/>
    <w:rsid w:val="00E15C9C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customStyle="1" w:styleId="text-meta">
    <w:name w:val="text-meta"/>
    <w:rsid w:val="00E15C9C"/>
  </w:style>
  <w:style w:type="character" w:customStyle="1" w:styleId="typography-modulelvnit">
    <w:name w:val="typography-module__lvnit"/>
    <w:basedOn w:val="a0"/>
    <w:rsid w:val="00E15C9C"/>
  </w:style>
  <w:style w:type="paragraph" w:customStyle="1" w:styleId="papertitle">
    <w:name w:val="paper title"/>
    <w:rsid w:val="006806D2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2674945" TargetMode="External"/><Relationship Id="rId13" Type="http://schemas.openxmlformats.org/officeDocument/2006/relationships/hyperlink" Target="https://www.scopus.com/authid/detail.uri?authorId=7201851532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035077000" TargetMode="External"/><Relationship Id="rId12" Type="http://schemas.openxmlformats.org/officeDocument/2006/relationships/hyperlink" Target="https://www.scopus.com/authid/detail.uri?authorId=5720007094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130053?origin=resultslis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151659897&amp;origin=resultsli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record/display.uri?eid=2-s2.0-85077341864&amp;origin=resultslist" TargetMode="External"/><Relationship Id="rId10" Type="http://schemas.openxmlformats.org/officeDocument/2006/relationships/hyperlink" Target="https://www.scopus.com/authid/detail.uri?authorId=5720283723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8395564200" TargetMode="External"/><Relationship Id="rId14" Type="http://schemas.openxmlformats.org/officeDocument/2006/relationships/hyperlink" Target="https://www.scopus.com/authid/detail.uri?authorId=57198356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Вакорина</dc:creator>
  <cp:keywords/>
  <dc:description/>
  <cp:lastModifiedBy>Дарья Вакорина</cp:lastModifiedBy>
  <cp:revision>4</cp:revision>
  <dcterms:created xsi:type="dcterms:W3CDTF">2024-02-15T10:00:00Z</dcterms:created>
  <dcterms:modified xsi:type="dcterms:W3CDTF">2024-02-15T13:06:00Z</dcterms:modified>
</cp:coreProperties>
</file>