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40" w:lineRule="auto"/>
        <w:jc w:val="center"/>
        <w:rPr>
          <w:b/>
        </w:rPr>
      </w:pPr>
      <w:r>
        <w:rPr>
          <w:b/>
        </w:rPr>
        <w:t xml:space="preserve">Исследование влияния </w:t>
      </w:r>
      <w:r>
        <w:rPr>
          <w:b/>
        </w:rPr>
        <w:t>β-</w:t>
      </w:r>
      <w:r>
        <w:rPr>
          <w:b/>
        </w:rPr>
        <w:t xml:space="preserve">излучения на эритроциты человека </w:t>
      </w:r>
      <w:r>
        <w:rPr>
          <w:b/>
        </w:rPr>
        <w:t>in</w:t>
      </w:r>
      <w:r>
        <w:rPr>
          <w:b/>
        </w:rPr>
        <w:t xml:space="preserve"> </w:t>
      </w:r>
      <w:r>
        <w:rPr>
          <w:b/>
        </w:rPr>
        <w:t>vitro</w:t>
      </w:r>
      <w:r>
        <w:rPr>
          <w:b/>
        </w:rPr>
        <w:t xml:space="preserve"> методами электронной микроскопии, ИК-спектроскопии и оценки линейных размеров дифракцией лазерного излучения</w:t>
      </w:r>
    </w:p>
    <w:p w14:paraId="00000002">
      <w:pPr>
        <w:spacing w:line="240" w:lineRule="auto"/>
        <w:jc w:val="center"/>
        <w:rPr>
          <w:b/>
          <w:i/>
        </w:rPr>
      </w:pPr>
      <w:r>
        <w:rPr>
          <w:b/>
          <w:i/>
        </w:rPr>
        <w:t>Николаев Н.И.¹</w:t>
      </w:r>
      <w:r>
        <w:rPr>
          <w:b/>
          <w:i/>
        </w:rPr>
        <w:t xml:space="preserve">, </w:t>
      </w:r>
      <w:r>
        <w:rPr>
          <w:b/>
          <w:i/>
        </w:rPr>
        <w:t>Романова Д.А.</w:t>
      </w:r>
      <w:r>
        <w:rPr>
          <w:b/>
          <w:i/>
        </w:rPr>
        <w:t>²</w:t>
      </w:r>
      <w:r>
        <w:rPr>
          <w:b/>
          <w:i/>
        </w:rPr>
        <w:t xml:space="preserve">, </w:t>
      </w:r>
      <w:r>
        <w:rPr>
          <w:b/>
          <w:i/>
        </w:rPr>
        <w:t>Мамаева С.Н.</w:t>
      </w:r>
      <w:r>
        <w:rPr>
          <w:b/>
          <w:i/>
        </w:rPr>
        <w:t>³</w:t>
      </w:r>
      <w:r>
        <w:rPr>
          <w:b/>
          <w:i/>
        </w:rPr>
        <w:t>, Федорова Н.Ф.</w:t>
      </w:r>
      <w:r>
        <w:rPr>
          <w:b/>
          <w:i/>
        </w:rPr>
        <w:t>⁴</w:t>
      </w:r>
      <w:r>
        <w:rPr>
          <w:b/>
          <w:i/>
        </w:rPr>
        <w:t>, Протопопов Ф.Ф.</w:t>
      </w:r>
      <w:r>
        <w:rPr>
          <w:b/>
          <w:i/>
        </w:rPr>
        <w:t>⁵</w:t>
      </w:r>
    </w:p>
    <w:p w14:paraId="00000003">
      <w:pPr>
        <w:spacing w:line="240" w:lineRule="auto"/>
        <w:jc w:val="center"/>
        <w:rPr>
          <w:i/>
        </w:rPr>
      </w:pPr>
      <w:r>
        <w:rPr>
          <w:i/>
        </w:rPr>
        <w:t>¹</w:t>
      </w:r>
      <w:r>
        <w:rPr>
          <w:i/>
        </w:rPr>
        <w:t>С</w:t>
      </w:r>
      <w:r>
        <w:rPr>
          <w:i/>
        </w:rPr>
        <w:t>тудент</w:t>
      </w:r>
      <w:r>
        <w:rPr>
          <w:i/>
        </w:rPr>
        <w:t>, 2</w:t>
      </w:r>
      <w:r>
        <w:rPr>
          <w:i/>
        </w:rPr>
        <w:t xml:space="preserve"> курс магистратуры</w:t>
      </w:r>
    </w:p>
    <w:p w14:paraId="00000004">
      <w:pPr>
        <w:spacing w:line="240" w:lineRule="auto"/>
        <w:jc w:val="center"/>
        <w:rPr>
          <w:i/>
        </w:rPr>
      </w:pPr>
      <w:r>
        <w:rPr>
          <w:i/>
        </w:rPr>
        <w:t>²</w:t>
      </w:r>
      <w:r>
        <w:rPr>
          <w:i/>
        </w:rPr>
        <w:t>Студент, 2 курс бакалавриата</w:t>
      </w:r>
    </w:p>
    <w:p w14:paraId="00000005">
      <w:pPr>
        <w:spacing w:line="240" w:lineRule="auto"/>
        <w:jc w:val="center"/>
        <w:rPr>
          <w:i/>
        </w:rPr>
      </w:pPr>
      <w:r>
        <w:rPr>
          <w:i/>
        </w:rPr>
        <w:t>³</w:t>
      </w:r>
      <w:r>
        <w:rPr>
          <w:i/>
        </w:rPr>
        <w:t>Кандидат физико-математических наук, доцент</w:t>
      </w:r>
    </w:p>
    <w:p w14:paraId="00000006">
      <w:pPr>
        <w:spacing w:line="240" w:lineRule="auto"/>
        <w:jc w:val="center"/>
        <w:rPr>
          <w:i/>
        </w:rPr>
      </w:pPr>
      <w:r>
        <w:rPr>
          <w:i/>
        </w:rPr>
        <w:t>⁴</w:t>
      </w:r>
      <w:r>
        <w:rPr>
          <w:i/>
        </w:rPr>
        <w:t>В</w:t>
      </w:r>
      <w:r>
        <w:rPr>
          <w:i/>
        </w:rPr>
        <w:t>рач клинической лабораторной диагностики</w:t>
      </w:r>
    </w:p>
    <w:p w14:paraId="00000007">
      <w:pPr>
        <w:spacing w:line="240" w:lineRule="auto"/>
        <w:jc w:val="center"/>
        <w:rPr>
          <w:i/>
        </w:rPr>
      </w:pPr>
      <w:r>
        <w:rPr>
          <w:i/>
        </w:rPr>
        <w:t>⁵</w:t>
      </w:r>
      <w:r>
        <w:rPr>
          <w:i/>
        </w:rPr>
        <w:t>Кандидат биологических наук</w:t>
      </w:r>
    </w:p>
    <w:p w14:paraId="00000008">
      <w:pPr>
        <w:spacing w:line="240" w:lineRule="auto"/>
        <w:jc w:val="center"/>
        <w:rPr>
          <w:i/>
        </w:rPr>
      </w:pPr>
      <w:r>
        <w:rPr>
          <w:i/>
        </w:rPr>
        <w:t>Северо-Восточный федеральный университет имени М.К. Аммосова</w:t>
      </w:r>
    </w:p>
    <w:p w14:paraId="00000009">
      <w:pPr>
        <w:spacing w:line="240" w:lineRule="auto"/>
        <w:jc w:val="center"/>
        <w:rPr>
          <w:i/>
        </w:rPr>
      </w:pPr>
      <w:r>
        <w:rPr>
          <w:i/>
        </w:rPr>
        <w:t>Физико-технический университет, Якутск</w:t>
      </w:r>
      <w:r>
        <w:rPr>
          <w:i/>
        </w:rPr>
        <w:t>, Россия</w:t>
      </w:r>
    </w:p>
    <w:p w14:paraId="0000000A">
      <w:pPr>
        <w:spacing w:line="240" w:lineRule="auto"/>
        <w:jc w:val="center"/>
        <w:rPr>
          <w:i/>
          <w:lang w:val="en-US"/>
        </w:rPr>
      </w:pPr>
      <w:r>
        <w:rPr>
          <w:i/>
          <w:lang w:val="en-US"/>
        </w:rPr>
        <w:t>E–mail:</w:t>
      </w:r>
      <w:r>
        <w:rPr>
          <w:i/>
          <w:lang w:val="en-US"/>
        </w:rPr>
        <w:t xml:space="preserve"> nikita.i.nikolaev@gmail.com</w:t>
      </w:r>
    </w:p>
    <w:p w14:paraId="0000000B">
      <w:pPr>
        <w:spacing w:after="0" w:line="240" w:lineRule="auto"/>
        <w:ind w:firstLine="397"/>
        <w:jc w:val="both"/>
        <w:rPr/>
      </w:pPr>
      <w:r>
        <w:t xml:space="preserve">Рак молочной </w:t>
      </w:r>
      <w:r>
        <w:t>железы</w:t>
      </w:r>
      <w:r>
        <w:t xml:space="preserve"> является одним из самых распространенных видов рак</w:t>
      </w:r>
      <w:r>
        <w:t>а</w:t>
      </w:r>
      <w:r>
        <w:t xml:space="preserve"> у женщин,</w:t>
      </w:r>
      <w:r>
        <w:t xml:space="preserve"> наиболее часто</w:t>
      </w:r>
      <w:r>
        <w:t xml:space="preserve"> встречается</w:t>
      </w:r>
      <w:r>
        <w:t xml:space="preserve"> в возрасте 50-65 лет. </w:t>
      </w:r>
      <w:r>
        <w:t xml:space="preserve">По </w:t>
      </w:r>
      <w:r>
        <w:t xml:space="preserve">состоянию на 2020 г. </w:t>
      </w:r>
      <w:r>
        <w:t>количество впервые выявленных случаев в мире составило</w:t>
      </w:r>
      <w:r>
        <w:t xml:space="preserve"> 2.2 млн. случаев, </w:t>
      </w:r>
      <w:r>
        <w:t>в то время, как смертность в тот-же</w:t>
      </w:r>
      <w:r>
        <w:t xml:space="preserve"> год </w:t>
      </w:r>
      <w:r>
        <w:t>составила</w:t>
      </w:r>
      <w:r>
        <w:t xml:space="preserve"> 685 тыс</w:t>
      </w:r>
      <w:r>
        <w:t>.</w:t>
      </w:r>
      <w:r>
        <w:t>[</w:t>
      </w:r>
      <w:r>
        <w:t>1</w:t>
      </w:r>
      <w:r>
        <w:t>]</w:t>
      </w:r>
      <w:r>
        <w:t>.</w:t>
      </w:r>
      <w:r>
        <w:t xml:space="preserve"> Основными методами лечения данного заболевания явля</w:t>
      </w:r>
      <w:r>
        <w:t>ю</w:t>
      </w:r>
      <w:r>
        <w:t>тся</w:t>
      </w:r>
      <w:r>
        <w:t xml:space="preserve"> хирургическая</w:t>
      </w:r>
      <w:r>
        <w:t xml:space="preserve"> операция</w:t>
      </w:r>
      <w:r>
        <w:t xml:space="preserve"> и химиотерапия</w:t>
      </w:r>
      <w:r>
        <w:t xml:space="preserve"> </w:t>
      </w:r>
      <w:r>
        <w:t xml:space="preserve">с </w:t>
      </w:r>
      <w:r>
        <w:t>адъювантной</w:t>
      </w:r>
      <w:r>
        <w:t xml:space="preserve"> лучев</w:t>
      </w:r>
      <w:r>
        <w:t>ой</w:t>
      </w:r>
      <w:r>
        <w:t xml:space="preserve"> терапи</w:t>
      </w:r>
      <w:r>
        <w:t>ей</w:t>
      </w:r>
      <w:r>
        <w:t xml:space="preserve">. </w:t>
      </w:r>
      <w:r>
        <w:t>О</w:t>
      </w:r>
      <w:r>
        <w:t>дним из п</w:t>
      </w:r>
      <w:r>
        <w:t>ерспективны</w:t>
      </w:r>
      <w:r>
        <w:t>х</w:t>
      </w:r>
      <w:r>
        <w:t xml:space="preserve"> методо</w:t>
      </w:r>
      <w:r>
        <w:t>в</w:t>
      </w:r>
      <w:r>
        <w:t xml:space="preserve"> лучевой терапии является </w:t>
      </w:r>
      <w:r>
        <w:t>интраоперационная</w:t>
      </w:r>
      <w:r>
        <w:t xml:space="preserve"> лучевая терапия</w:t>
      </w:r>
      <w:r>
        <w:t>. О</w:t>
      </w:r>
      <w:r>
        <w:t>собенност</w:t>
      </w:r>
      <w:r>
        <w:t>ью</w:t>
      </w:r>
      <w:r>
        <w:t xml:space="preserve"> </w:t>
      </w:r>
      <w:r>
        <w:t>данного</w:t>
      </w:r>
      <w:r>
        <w:t xml:space="preserve"> метода явля</w:t>
      </w:r>
      <w:r>
        <w:t>е</w:t>
      </w:r>
      <w:r>
        <w:t>тся комбинирование хирургического вмешательства и лучевой терапии</w:t>
      </w:r>
      <w:r>
        <w:t xml:space="preserve"> </w:t>
      </w:r>
      <w:r>
        <w:t>[</w:t>
      </w:r>
      <w:r>
        <w:t>2</w:t>
      </w:r>
      <w:r>
        <w:t>]</w:t>
      </w:r>
      <w:r>
        <w:t>. В этом плане</w:t>
      </w:r>
      <w:r>
        <w:t>,</w:t>
      </w:r>
      <w:r>
        <w:t xml:space="preserve"> использование </w:t>
      </w:r>
      <w:r>
        <w:t xml:space="preserve">β-излучения </w:t>
      </w:r>
      <w:r>
        <w:t>от генераторов ионизирующего излучения</w:t>
      </w:r>
      <w:r>
        <w:t xml:space="preserve"> представляется наиболее перспективным ввиду того, что</w:t>
      </w:r>
      <w:r>
        <w:t xml:space="preserve"> особенностью </w:t>
      </w:r>
      <w:r>
        <w:t>β-излучения</w:t>
      </w:r>
      <w:r>
        <w:t xml:space="preserve"> </w:t>
      </w:r>
      <w:r>
        <w:t>является не</w:t>
      </w:r>
      <w:r>
        <w:t xml:space="preserve">глубокое проникновение </w:t>
      </w:r>
      <w:r>
        <w:t>ионизирющего</w:t>
      </w:r>
      <w:r>
        <w:t xml:space="preserve"> излучения в ткани больного</w:t>
      </w:r>
      <w:r>
        <w:t xml:space="preserve">, что позволяет </w:t>
      </w:r>
      <w:r>
        <w:t>снизить дозу приходящуюся на критически важные органы</w:t>
      </w:r>
      <w:r>
        <w:t>.</w:t>
      </w:r>
      <w:r>
        <w:t xml:space="preserve"> </w:t>
      </w:r>
      <w:r>
        <w:t>Более того</w:t>
      </w:r>
      <w:r>
        <w:t>,</w:t>
      </w:r>
      <w:r>
        <w:t xml:space="preserve"> сниж</w:t>
      </w:r>
      <w:r>
        <w:t>ается</w:t>
      </w:r>
      <w:r>
        <w:t xml:space="preserve"> общ</w:t>
      </w:r>
      <w:r>
        <w:t>ая</w:t>
      </w:r>
      <w:r>
        <w:t xml:space="preserve"> нагрузк</w:t>
      </w:r>
      <w:r>
        <w:t>а</w:t>
      </w:r>
      <w:r>
        <w:t xml:space="preserve"> на организм пациента</w:t>
      </w:r>
      <w:r>
        <w:t>, ввиду того, что на ложе опухоли однократно доставляется большая доза облучения,</w:t>
      </w:r>
      <w:r>
        <w:t xml:space="preserve"> </w:t>
      </w:r>
      <w:r>
        <w:t>также снижаются</w:t>
      </w:r>
      <w:r>
        <w:t xml:space="preserve"> риск</w:t>
      </w:r>
      <w:r>
        <w:t>и возникновения</w:t>
      </w:r>
      <w:r>
        <w:t xml:space="preserve"> рецидив</w:t>
      </w:r>
      <w:r>
        <w:t>ов</w:t>
      </w:r>
      <w:r>
        <w:t xml:space="preserve"> заболевания. </w:t>
      </w:r>
    </w:p>
    <w:p w14:paraId="0000000C">
      <w:pPr>
        <w:spacing w:after="0" w:line="240" w:lineRule="auto"/>
        <w:ind w:firstLine="397"/>
        <w:jc w:val="both"/>
        <w:rPr/>
      </w:pPr>
      <w:r>
        <w:t>Целью данной работы является и</w:t>
      </w:r>
      <w:r>
        <w:t>сследовани</w:t>
      </w:r>
      <w:r>
        <w:t>е</w:t>
      </w:r>
      <w:r>
        <w:t xml:space="preserve"> воздействия </w:t>
      </w:r>
      <w:r>
        <w:t>β-излучения</w:t>
      </w:r>
      <w:r>
        <w:t>,</w:t>
      </w:r>
      <w:r>
        <w:t xml:space="preserve"> на</w:t>
      </w:r>
      <w:r>
        <w:t xml:space="preserve"> </w:t>
      </w:r>
      <w:r>
        <w:t>эритроцит</w:t>
      </w:r>
      <w:r>
        <w:t>ы</w:t>
      </w:r>
      <w:r>
        <w:t xml:space="preserve"> здоровых </w:t>
      </w:r>
      <w:r>
        <w:t>доноров</w:t>
      </w:r>
      <w:r>
        <w:t xml:space="preserve"> </w:t>
      </w:r>
      <w:r>
        <w:rPr>
          <w:i/>
          <w:iCs/>
          <w:lang w:val="en-US"/>
        </w:rPr>
        <w:t>in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vitro</w:t>
      </w:r>
      <w:r>
        <w:t xml:space="preserve"> и определение </w:t>
      </w:r>
      <w:r>
        <w:t>референсны</w:t>
      </w:r>
      <w:r>
        <w:t>х</w:t>
      </w:r>
      <w:r>
        <w:t xml:space="preserve"> значени</w:t>
      </w:r>
      <w:r>
        <w:t>й</w:t>
      </w:r>
      <w:r>
        <w:t xml:space="preserve"> </w:t>
      </w:r>
      <w:r>
        <w:t>морфо-физических</w:t>
      </w:r>
      <w:r>
        <w:t xml:space="preserve"> показателей эритроцитов в норме и при воздействии ионизирующего излучения. </w:t>
      </w:r>
    </w:p>
    <w:p w14:paraId="0000000D">
      <w:pPr>
        <w:spacing w:after="0" w:line="240" w:lineRule="auto"/>
        <w:ind w:firstLine="397"/>
        <w:jc w:val="both"/>
        <w:rPr/>
      </w:pPr>
      <w:r>
        <w:t>Образцы в</w:t>
      </w:r>
      <w:r>
        <w:t>енозн</w:t>
      </w:r>
      <w:r>
        <w:t>ой</w:t>
      </w:r>
      <w:r>
        <w:t xml:space="preserve"> кров</w:t>
      </w:r>
      <w:r>
        <w:t xml:space="preserve">и </w:t>
      </w:r>
      <w:r>
        <w:t>здоровых доноров</w:t>
      </w:r>
      <w:r>
        <w:t>,</w:t>
      </w:r>
      <w:r>
        <w:t xml:space="preserve"> </w:t>
      </w:r>
      <w:r>
        <w:t>женщин</w:t>
      </w:r>
      <w:r>
        <w:t>,</w:t>
      </w:r>
      <w:r>
        <w:t xml:space="preserve"> в возрасте 45-</w:t>
      </w:r>
      <w:r>
        <w:t>6</w:t>
      </w:r>
      <w:r>
        <w:t xml:space="preserve">5 лет </w:t>
      </w:r>
      <w:r>
        <w:t>был</w:t>
      </w:r>
      <w:r>
        <w:t>и</w:t>
      </w:r>
      <w:r>
        <w:t xml:space="preserve"> </w:t>
      </w:r>
      <w:r>
        <w:t xml:space="preserve">предоставлены сотрудниками </w:t>
      </w:r>
      <w:r>
        <w:t>Медицинской клиник</w:t>
      </w:r>
      <w:r>
        <w:t>и</w:t>
      </w:r>
      <w:r>
        <w:t xml:space="preserve"> СВФУ</w:t>
      </w:r>
      <w:r>
        <w:t xml:space="preserve"> с соблюдением</w:t>
      </w:r>
      <w:r>
        <w:t xml:space="preserve"> всех</w:t>
      </w:r>
      <w:r>
        <w:t xml:space="preserve"> норм медицинской этики.</w:t>
      </w:r>
      <w:r>
        <w:t xml:space="preserve"> </w:t>
      </w:r>
    </w:p>
    <w:p w14:paraId="0000000E">
      <w:pPr>
        <w:spacing w:after="0" w:line="240" w:lineRule="auto"/>
        <w:ind w:firstLine="397"/>
        <w:jc w:val="both"/>
        <w:rPr/>
      </w:pPr>
      <w:r>
        <w:t>Исследовани</w:t>
      </w:r>
      <w:r>
        <w:t>я образцов</w:t>
      </w:r>
      <w:r>
        <w:t xml:space="preserve"> </w:t>
      </w:r>
      <w:r>
        <w:t xml:space="preserve">до облучения </w:t>
      </w:r>
      <w:r>
        <w:t>проводи</w:t>
      </w:r>
      <w:r>
        <w:t>л</w:t>
      </w:r>
      <w:r>
        <w:t>и</w:t>
      </w:r>
      <w:r>
        <w:t xml:space="preserve">сь </w:t>
      </w:r>
      <w:r>
        <w:t xml:space="preserve">с использованием растровой электронной микроскопии, ИК-спектроскопии и оценки линейных размеров эритроцитов на гелий-неоновом лазере. </w:t>
      </w:r>
      <w:r>
        <w:t xml:space="preserve">Во второй стадии исследования </w:t>
      </w:r>
      <w:r>
        <w:t>образцы кров</w:t>
      </w:r>
      <w:r>
        <w:t>и здоровых доноров б</w:t>
      </w:r>
      <w:r>
        <w:t>удут исследованы</w:t>
      </w:r>
      <w:r>
        <w:t xml:space="preserve"> с использованием </w:t>
      </w:r>
      <w:r>
        <w:t>вышеуказанных</w:t>
      </w:r>
      <w:r>
        <w:t xml:space="preserve"> методов</w:t>
      </w:r>
      <w:r>
        <w:t xml:space="preserve"> после облучения </w:t>
      </w:r>
      <w:r>
        <w:t>электронами</w:t>
      </w:r>
      <w:r>
        <w:t>. После получения</w:t>
      </w:r>
      <w:r>
        <w:t xml:space="preserve"> необходимых</w:t>
      </w:r>
      <w:r>
        <w:t xml:space="preserve"> </w:t>
      </w:r>
      <w:r>
        <w:t xml:space="preserve">результатов </w:t>
      </w:r>
      <w:r>
        <w:t>будут</w:t>
      </w:r>
      <w:r>
        <w:t xml:space="preserve"> проведены стандартные статистические методы сравнительного анализа</w:t>
      </w:r>
      <w:r>
        <w:t xml:space="preserve"> полученных</w:t>
      </w:r>
      <w:r>
        <w:t xml:space="preserve"> данных</w:t>
      </w:r>
      <w:r>
        <w:t xml:space="preserve"> до и после облучения</w:t>
      </w:r>
      <w:r>
        <w:t>.</w:t>
      </w:r>
      <w:r>
        <w:t xml:space="preserve"> </w:t>
      </w:r>
    </w:p>
    <w:p w14:paraId="0000000F">
      <w:pPr>
        <w:spacing w:after="0" w:line="240" w:lineRule="auto"/>
        <w:ind w:firstLine="397"/>
        <w:jc w:val="both"/>
        <w:rPr/>
      </w:pPr>
      <w:r>
        <w:t>Из полученных данных</w:t>
      </w:r>
      <w:r>
        <w:t xml:space="preserve"> будут</w:t>
      </w:r>
      <w:r>
        <w:t xml:space="preserve"> </w:t>
      </w:r>
      <w:r>
        <w:t xml:space="preserve">сделаны </w:t>
      </w:r>
      <w:r>
        <w:t>в</w:t>
      </w:r>
      <w:r>
        <w:t>ыводы о влиянии ионизирующего излучения на</w:t>
      </w:r>
      <w:r>
        <w:t xml:space="preserve"> </w:t>
      </w:r>
      <w:r>
        <w:t>эритроцит</w:t>
      </w:r>
      <w:r>
        <w:t>ы</w:t>
      </w:r>
      <w:r>
        <w:t xml:space="preserve"> человека</w:t>
      </w:r>
      <w:r>
        <w:t xml:space="preserve"> </w:t>
      </w:r>
      <w:r>
        <w:rPr>
          <w:i/>
          <w:iCs/>
          <w:lang w:val="en-US"/>
        </w:rPr>
        <w:t>in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vitro</w:t>
      </w:r>
      <w:r>
        <w:t>, ч</w:t>
      </w:r>
      <w:r>
        <w:t>то позволит в</w:t>
      </w:r>
      <w:r>
        <w:t>ыяв</w:t>
      </w:r>
      <w:r>
        <w:t xml:space="preserve">ить </w:t>
      </w:r>
      <w:r>
        <w:t xml:space="preserve">потенциальные </w:t>
      </w:r>
      <w:r>
        <w:t>последствия</w:t>
      </w:r>
      <w:r>
        <w:t xml:space="preserve"> влияния </w:t>
      </w:r>
      <w:r>
        <w:t>β</w:t>
      </w:r>
      <w:r>
        <w:t>-</w:t>
      </w:r>
      <w:r>
        <w:t>излучения</w:t>
      </w:r>
      <w:r>
        <w:t xml:space="preserve"> на морфологические и </w:t>
      </w:r>
      <w:r>
        <w:t xml:space="preserve">биофизические </w:t>
      </w:r>
      <w:r>
        <w:t>параметры</w:t>
      </w:r>
      <w:r>
        <w:t xml:space="preserve"> эритроцитов.</w:t>
      </w:r>
    </w:p>
    <w:p w14:paraId="00000010">
      <w:pPr>
        <w:spacing w:after="0" w:line="240" w:lineRule="auto"/>
        <w:ind w:firstLine="397"/>
        <w:jc w:val="both"/>
        <w:rPr/>
      </w:pPr>
      <w:r>
        <w:t>Ожидаемым результатом проекта является получение новых знаний о влиянии ионизирующего излучения на эритроциты человека с использованием малогабаритного бетатрона. Эти данные будут полезны для разработки более эффективных методов защиты от воздействия излучения и предотвращения его негативных последствий для здоровья</w:t>
      </w:r>
      <w:r>
        <w:t xml:space="preserve"> человека</w:t>
      </w:r>
      <w:r>
        <w:t>.</w:t>
      </w:r>
    </w:p>
    <w:p w14:paraId="00000011">
      <w:pPr>
        <w:spacing w:after="0" w:line="240" w:lineRule="auto"/>
        <w:ind w:firstLine="397"/>
        <w:jc w:val="both"/>
        <w:rPr/>
      </w:pPr>
    </w:p>
    <w:p w14:paraId="00000012">
      <w:pPr>
        <w:spacing w:after="0" w:line="240" w:lineRule="auto"/>
        <w:ind w:firstLine="397"/>
        <w:jc w:val="center"/>
        <w:rPr/>
      </w:pPr>
      <w:r>
        <w:t>Литература</w:t>
      </w:r>
    </w:p>
    <w:p w14:paraId="00000013">
      <w:pPr>
        <w:spacing w:after="0" w:line="240" w:lineRule="auto"/>
        <w:ind w:firstLine="397"/>
        <w:jc w:val="center"/>
        <w:rPr/>
      </w:pPr>
    </w:p>
    <w:p w14:paraId="00000014">
      <w:pPr>
        <w:pStyle w:val="ListParagraph"/>
        <w:numPr>
          <w:ilvl w:val="0"/>
          <w:numId w:val="1"/>
        </w:numPr>
        <w:spacing w:after="0" w:line="240" w:lineRule="auto"/>
        <w:jc w:val="both"/>
        <w:rPr/>
      </w:pPr>
      <w:r>
        <w:t>Христофорова, В. А. Исследование поверхности эритроцитов пациентов с раком молочной желе</w:t>
      </w:r>
      <w:r>
        <w:t>зы методами электронной микроско</w:t>
      </w:r>
      <w:r>
        <w:t xml:space="preserve">пии и </w:t>
      </w:r>
      <w:r>
        <w:t>иммунофлуоресцентного</w:t>
      </w:r>
      <w:r>
        <w:t xml:space="preserve"> анализа /</w:t>
      </w:r>
      <w:r>
        <w:t>/</w:t>
      </w:r>
      <w:r>
        <w:t xml:space="preserve"> В. А. Христофорова, Т. А. Крылова, С. Н. Мамаева // XXV Лаврентьевские чтения,</w:t>
      </w:r>
      <w:r>
        <w:t xml:space="preserve"> </w:t>
      </w:r>
      <w:r>
        <w:t>посвященны</w:t>
      </w:r>
      <w:r>
        <w:t>е 30-летию академии наук РС (я)</w:t>
      </w:r>
      <w:r>
        <w:t>: Материалы научной конференции</w:t>
      </w:r>
      <w:r>
        <w:t xml:space="preserve"> </w:t>
      </w:r>
      <w:r>
        <w:t>студентов, аспирантов и молодых ученых, Якутск, 10–13 апреля 2023 года. – Якутск: Северо-Восточный федеральный университет имени М.К. Аммосова, 2023. – С. 114-117.</w:t>
      </w:r>
    </w:p>
    <w:p w14:paraId="00000015">
      <w:pPr>
        <w:pStyle w:val="ListParagraph"/>
        <w:numPr>
          <w:ilvl w:val="0"/>
          <w:numId w:val="1"/>
        </w:numPr>
        <w:spacing w:after="0" w:line="240" w:lineRule="auto"/>
        <w:jc w:val="both"/>
        <w:rPr/>
      </w:pPr>
      <w:r>
        <w:t xml:space="preserve">Всемирная организация здравоохранения </w:t>
      </w:r>
      <w:r>
        <w:t>[</w:t>
      </w:r>
      <w:r>
        <w:t>Электронный ресурс</w:t>
      </w:r>
      <w:r>
        <w:t>]</w:t>
      </w:r>
      <w:r>
        <w:t>.</w:t>
      </w:r>
      <w:r>
        <w:t xml:space="preserve"> – </w:t>
      </w:r>
      <w:r>
        <w:rPr>
          <w:lang w:val="en-US"/>
        </w:rPr>
        <w:t>URL</w:t>
      </w:r>
      <w:r>
        <w:t>.</w:t>
      </w:r>
      <w:r>
        <w:t xml:space="preserve"> https://www.who.int/ru/news-room/fact-sheets/detail/breast-cancer (Дата обращения: 16.02.2024)</w:t>
      </w:r>
    </w:p>
    <w:sectPr>
      <w:pgSz w:w="11906" w:h="16838"/>
      <w:pgMar w:top="1134" w:right="1361" w:bottom="1259" w:left="136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AB6"/>
    <w:rsid w:val="00000F61"/>
    <w:rsid w:val="000B1A5A"/>
    <w:rsid w:val="00127379"/>
    <w:rsid w:val="001A5EB8"/>
    <w:rsid w:val="001B4E5B"/>
    <w:rsid w:val="002E4AD0"/>
    <w:rsid w:val="002E4FEB"/>
    <w:rsid w:val="002F6C17"/>
    <w:rsid w:val="004745CD"/>
    <w:rsid w:val="004776A5"/>
    <w:rsid w:val="004818CE"/>
    <w:rsid w:val="004854C1"/>
    <w:rsid w:val="0049764F"/>
    <w:rsid w:val="004B2AB6"/>
    <w:rsid w:val="005A3AC1"/>
    <w:rsid w:val="00607491"/>
    <w:rsid w:val="00661152"/>
    <w:rsid w:val="00696806"/>
    <w:rsid w:val="006B2A02"/>
    <w:rsid w:val="006E2E6D"/>
    <w:rsid w:val="006F5A16"/>
    <w:rsid w:val="0075560F"/>
    <w:rsid w:val="0077493E"/>
    <w:rsid w:val="00792303"/>
    <w:rsid w:val="007B5E4B"/>
    <w:rsid w:val="007C2256"/>
    <w:rsid w:val="008371D1"/>
    <w:rsid w:val="008872FF"/>
    <w:rsid w:val="008E1856"/>
    <w:rsid w:val="009846C0"/>
    <w:rsid w:val="00990E0D"/>
    <w:rsid w:val="009E7B35"/>
    <w:rsid w:val="00B44653"/>
    <w:rsid w:val="00BA5BD4"/>
    <w:rsid w:val="00BD24C0"/>
    <w:rsid w:val="00D779A1"/>
    <w:rsid w:val="00D963FC"/>
    <w:rsid w:val="00DE28B8"/>
    <w:rsid w:val="00E14E6D"/>
    <w:rsid w:val="00E45814"/>
    <w:rsid w:val="00F1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theme="minorBidi" w:eastAsiaTheme="minorHAnsi" w:hAnsi="Times New Roman"/>
        <w:sz w:val="24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</cp:coreProperties>
</file>